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0F03" w:rsidRDefault="00C775F2" w:rsidP="00AC7E21">
      <w:pPr>
        <w:rPr>
          <w:rFonts w:ascii="Times New Roman" w:hAnsi="Times New Roman" w:cs="Times New Roman"/>
          <w:sz w:val="28"/>
          <w:szCs w:val="28"/>
        </w:rPr>
      </w:pPr>
      <w:r>
        <w:rPr>
          <w:rFonts w:ascii="Simplified Arabic" w:hAnsi="Simplified Arabic" w:cs="Simplified Arabic"/>
          <w:b/>
          <w:bCs/>
          <w:noProof/>
          <w:sz w:val="28"/>
          <w:szCs w:val="28"/>
          <w:rtl/>
        </w:rPr>
        <w:drawing>
          <wp:anchor distT="0" distB="0" distL="114300" distR="114300" simplePos="0" relativeHeight="251659264" behindDoc="0" locked="0" layoutInCell="1" allowOverlap="1">
            <wp:simplePos x="0" y="0"/>
            <wp:positionH relativeFrom="column">
              <wp:posOffset>762000</wp:posOffset>
            </wp:positionH>
            <wp:positionV relativeFrom="paragraph">
              <wp:posOffset>552450</wp:posOffset>
            </wp:positionV>
            <wp:extent cx="762000" cy="1028700"/>
            <wp:effectExtent l="19050" t="0" r="0" b="0"/>
            <wp:wrapSquare wrapText="bothSides"/>
            <wp:docPr id="3" name="Picture 5" descr="C:\Users\Mahy\AppData\Local\Temp\Nazra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Mahy\AppData\Local\Temp\Nazra_Logo.jpg"/>
                    <pic:cNvPicPr>
                      <a:picLocks noChangeAspect="1" noChangeArrowheads="1"/>
                    </pic:cNvPicPr>
                  </pic:nvPicPr>
                  <pic:blipFill>
                    <a:blip r:embed="rId8" cstate="print"/>
                    <a:srcRect/>
                    <a:stretch>
                      <a:fillRect/>
                    </a:stretch>
                  </pic:blipFill>
                  <pic:spPr bwMode="auto">
                    <a:xfrm>
                      <a:off x="0" y="0"/>
                      <a:ext cx="762000" cy="1028700"/>
                    </a:xfrm>
                    <a:prstGeom prst="rect">
                      <a:avLst/>
                    </a:prstGeom>
                    <a:noFill/>
                    <a:ln w="9525">
                      <a:noFill/>
                      <a:miter lim="800000"/>
                      <a:headEnd/>
                      <a:tailEnd/>
                    </a:ln>
                  </pic:spPr>
                </pic:pic>
              </a:graphicData>
            </a:graphic>
          </wp:anchor>
        </w:drawing>
      </w:r>
      <w:r>
        <w:rPr>
          <w:rFonts w:ascii="Simplified Arabic" w:hAnsi="Simplified Arabic" w:cs="Simplified Arabic"/>
          <w:b/>
          <w:bCs/>
          <w:noProof/>
          <w:sz w:val="28"/>
          <w:szCs w:val="28"/>
        </w:rPr>
        <w:drawing>
          <wp:inline distT="0" distB="0" distL="0" distR="0">
            <wp:extent cx="2295525" cy="1533525"/>
            <wp:effectExtent l="0" t="0" r="0" b="0"/>
            <wp:docPr id="1" name="Picture 1" descr="C:\Users\Mahy\Desktop\Open ccccopy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hy\Desktop\Open ccccopy copy.png"/>
                    <pic:cNvPicPr>
                      <a:picLocks noChangeAspect="1" noChangeArrowheads="1"/>
                    </pic:cNvPicPr>
                  </pic:nvPicPr>
                  <pic:blipFill>
                    <a:blip r:embed="rId9" cstate="print"/>
                    <a:srcRect/>
                    <a:stretch>
                      <a:fillRect/>
                    </a:stretch>
                  </pic:blipFill>
                  <pic:spPr bwMode="auto">
                    <a:xfrm>
                      <a:off x="0" y="0"/>
                      <a:ext cx="2295525" cy="1533525"/>
                    </a:xfrm>
                    <a:prstGeom prst="rect">
                      <a:avLst/>
                    </a:prstGeom>
                    <a:noFill/>
                    <a:ln w="9525">
                      <a:noFill/>
                      <a:miter lim="800000"/>
                      <a:headEnd/>
                      <a:tailEnd/>
                    </a:ln>
                  </pic:spPr>
                </pic:pic>
              </a:graphicData>
            </a:graphic>
          </wp:inline>
        </w:drawing>
      </w:r>
      <w:r>
        <w:rPr>
          <w:rFonts w:ascii="Simplified Arabic" w:hAnsi="Simplified Arabic" w:cs="Simplified Arabic"/>
          <w:b/>
          <w:bCs/>
          <w:noProof/>
          <w:sz w:val="28"/>
          <w:szCs w:val="28"/>
          <w:rtl/>
        </w:rPr>
        <w:drawing>
          <wp:inline distT="0" distB="0" distL="0" distR="0">
            <wp:extent cx="1114425" cy="1104900"/>
            <wp:effectExtent l="0" t="0" r="0" b="0"/>
            <wp:docPr id="2" name="Picture 4" descr="C:\Users\Mahy\Desktop\logo cewla cop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ahy\Desktop\logo cewla copy.png"/>
                    <pic:cNvPicPr>
                      <a:picLocks noChangeAspect="1" noChangeArrowheads="1"/>
                    </pic:cNvPicPr>
                  </pic:nvPicPr>
                  <pic:blipFill>
                    <a:blip r:embed="rId10" cstate="print"/>
                    <a:srcRect/>
                    <a:stretch>
                      <a:fillRect/>
                    </a:stretch>
                  </pic:blipFill>
                  <pic:spPr bwMode="auto">
                    <a:xfrm>
                      <a:off x="0" y="0"/>
                      <a:ext cx="1114425" cy="1104900"/>
                    </a:xfrm>
                    <a:prstGeom prst="rect">
                      <a:avLst/>
                    </a:prstGeom>
                    <a:noFill/>
                    <a:ln w="9525">
                      <a:noFill/>
                      <a:miter lim="800000"/>
                      <a:headEnd/>
                      <a:tailEnd/>
                    </a:ln>
                  </pic:spPr>
                </pic:pic>
              </a:graphicData>
            </a:graphic>
          </wp:inline>
        </w:drawing>
      </w:r>
    </w:p>
    <w:p w:rsidR="00AC7E21" w:rsidRDefault="00AC7E21" w:rsidP="00AC7E21">
      <w:pPr>
        <w:jc w:val="center"/>
        <w:rPr>
          <w:rFonts w:ascii="Times New Roman" w:hAnsi="Times New Roman" w:cs="Times New Roman"/>
          <w:sz w:val="28"/>
          <w:szCs w:val="28"/>
        </w:rPr>
      </w:pPr>
    </w:p>
    <w:p w:rsidR="002638F0" w:rsidRDefault="0060495E" w:rsidP="006B140B">
      <w:pPr>
        <w:jc w:val="center"/>
        <w:rPr>
          <w:rFonts w:ascii="Times New Roman" w:hAnsi="Times New Roman" w:cs="Times New Roman"/>
          <w:b/>
          <w:bCs/>
          <w:sz w:val="28"/>
          <w:szCs w:val="28"/>
        </w:rPr>
      </w:pPr>
      <w:r>
        <w:rPr>
          <w:rFonts w:ascii="Times New Roman" w:hAnsi="Times New Roman" w:cs="Times New Roman"/>
          <w:b/>
          <w:bCs/>
          <w:sz w:val="28"/>
          <w:szCs w:val="28"/>
        </w:rPr>
        <w:t>“</w:t>
      </w:r>
      <w:proofErr w:type="spellStart"/>
      <w:r w:rsidR="006B140B">
        <w:rPr>
          <w:rFonts w:ascii="Times New Roman" w:hAnsi="Times New Roman" w:cs="Times New Roman"/>
          <w:b/>
          <w:bCs/>
          <w:sz w:val="28"/>
          <w:szCs w:val="28"/>
        </w:rPr>
        <w:t>Qanun</w:t>
      </w:r>
      <w:proofErr w:type="spellEnd"/>
      <w:r w:rsidR="006B140B">
        <w:rPr>
          <w:rFonts w:ascii="Times New Roman" w:hAnsi="Times New Roman" w:cs="Times New Roman"/>
          <w:b/>
          <w:bCs/>
          <w:sz w:val="28"/>
          <w:szCs w:val="28"/>
        </w:rPr>
        <w:t xml:space="preserve"> </w:t>
      </w:r>
      <w:proofErr w:type="spellStart"/>
      <w:r w:rsidR="006B140B">
        <w:rPr>
          <w:rFonts w:ascii="Times New Roman" w:hAnsi="Times New Roman" w:cs="Times New Roman"/>
          <w:b/>
          <w:bCs/>
          <w:sz w:val="28"/>
          <w:szCs w:val="28"/>
        </w:rPr>
        <w:t>Nashaz</w:t>
      </w:r>
      <w:proofErr w:type="spellEnd"/>
      <w:r>
        <w:rPr>
          <w:rFonts w:ascii="Times New Roman" w:hAnsi="Times New Roman" w:cs="Times New Roman"/>
          <w:b/>
          <w:bCs/>
          <w:sz w:val="28"/>
          <w:szCs w:val="28"/>
        </w:rPr>
        <w:t xml:space="preserve">” – </w:t>
      </w:r>
      <w:r w:rsidR="00703DFD">
        <w:rPr>
          <w:rFonts w:ascii="Times New Roman" w:hAnsi="Times New Roman" w:cs="Times New Roman"/>
          <w:b/>
          <w:bCs/>
          <w:sz w:val="28"/>
          <w:szCs w:val="28"/>
        </w:rPr>
        <w:t>A</w:t>
      </w:r>
      <w:r>
        <w:rPr>
          <w:rFonts w:ascii="Times New Roman" w:hAnsi="Times New Roman" w:cs="Times New Roman"/>
          <w:b/>
          <w:bCs/>
          <w:sz w:val="28"/>
          <w:szCs w:val="28"/>
        </w:rPr>
        <w:t xml:space="preserve"> </w:t>
      </w:r>
      <w:r w:rsidR="002638F0">
        <w:rPr>
          <w:rFonts w:ascii="Times New Roman" w:hAnsi="Times New Roman" w:cs="Times New Roman"/>
          <w:b/>
          <w:bCs/>
          <w:sz w:val="28"/>
          <w:szCs w:val="28"/>
        </w:rPr>
        <w:t>Campaign on the Legal Issues associated with Violence against Women in both Public and Private Spheres</w:t>
      </w:r>
    </w:p>
    <w:p w:rsidR="0060495E" w:rsidRDefault="0060495E" w:rsidP="0060495E">
      <w:pPr>
        <w:jc w:val="both"/>
        <w:rPr>
          <w:rFonts w:ascii="Times New Roman" w:hAnsi="Times New Roman" w:cs="Times New Roman"/>
          <w:b/>
          <w:bCs/>
          <w:i/>
          <w:iCs/>
          <w:sz w:val="28"/>
          <w:szCs w:val="28"/>
        </w:rPr>
      </w:pPr>
      <w:r w:rsidRPr="0060495E">
        <w:rPr>
          <w:rFonts w:ascii="Times New Roman" w:hAnsi="Times New Roman" w:cs="Times New Roman"/>
          <w:b/>
          <w:bCs/>
          <w:i/>
          <w:iCs/>
          <w:sz w:val="28"/>
          <w:szCs w:val="28"/>
        </w:rPr>
        <w:t>Introduction</w:t>
      </w:r>
    </w:p>
    <w:p w:rsidR="00876D16" w:rsidRDefault="002638F0" w:rsidP="004D5D25">
      <w:pPr>
        <w:jc w:val="both"/>
        <w:rPr>
          <w:rFonts w:ascii="Times New Roman" w:hAnsi="Times New Roman" w:cs="Times New Roman"/>
          <w:sz w:val="28"/>
          <w:szCs w:val="28"/>
        </w:rPr>
      </w:pPr>
      <w:r>
        <w:rPr>
          <w:rFonts w:ascii="Times New Roman" w:hAnsi="Times New Roman" w:cs="Times New Roman"/>
          <w:sz w:val="28"/>
          <w:szCs w:val="28"/>
        </w:rPr>
        <w:t>Women and g</w:t>
      </w:r>
      <w:r w:rsidR="0060495E">
        <w:rPr>
          <w:rFonts w:ascii="Times New Roman" w:hAnsi="Times New Roman" w:cs="Times New Roman"/>
          <w:sz w:val="28"/>
          <w:szCs w:val="28"/>
        </w:rPr>
        <w:t>irls</w:t>
      </w:r>
      <w:r w:rsidR="0005611E">
        <w:rPr>
          <w:rFonts w:ascii="Times New Roman" w:hAnsi="Times New Roman" w:cs="Times New Roman"/>
          <w:sz w:val="28"/>
          <w:szCs w:val="28"/>
        </w:rPr>
        <w:t xml:space="preserve"> </w:t>
      </w:r>
      <w:r>
        <w:rPr>
          <w:rFonts w:ascii="Times New Roman" w:hAnsi="Times New Roman" w:cs="Times New Roman"/>
          <w:sz w:val="28"/>
          <w:szCs w:val="28"/>
        </w:rPr>
        <w:t>in Egypt are exposed to various</w:t>
      </w:r>
      <w:r w:rsidR="0060495E">
        <w:rPr>
          <w:rFonts w:ascii="Times New Roman" w:hAnsi="Times New Roman" w:cs="Times New Roman"/>
          <w:sz w:val="28"/>
          <w:szCs w:val="28"/>
        </w:rPr>
        <w:t xml:space="preserve"> sorts of </w:t>
      </w:r>
      <w:r>
        <w:rPr>
          <w:rFonts w:ascii="Times New Roman" w:hAnsi="Times New Roman" w:cs="Times New Roman"/>
          <w:sz w:val="28"/>
          <w:szCs w:val="28"/>
        </w:rPr>
        <w:t>sexual and physical violent crime</w:t>
      </w:r>
      <w:r w:rsidR="004D5D25">
        <w:rPr>
          <w:rFonts w:ascii="Times New Roman" w:hAnsi="Times New Roman" w:cs="Times New Roman"/>
          <w:sz w:val="28"/>
          <w:szCs w:val="28"/>
        </w:rPr>
        <w:t>s</w:t>
      </w:r>
      <w:r>
        <w:rPr>
          <w:rFonts w:ascii="Times New Roman" w:hAnsi="Times New Roman" w:cs="Times New Roman"/>
          <w:sz w:val="28"/>
          <w:szCs w:val="28"/>
        </w:rPr>
        <w:t xml:space="preserve">, in both </w:t>
      </w:r>
      <w:r w:rsidR="004D5D25">
        <w:rPr>
          <w:rFonts w:ascii="Times New Roman" w:hAnsi="Times New Roman" w:cs="Times New Roman"/>
          <w:sz w:val="28"/>
          <w:szCs w:val="28"/>
        </w:rPr>
        <w:t>public and private spheres, by s</w:t>
      </w:r>
      <w:r>
        <w:rPr>
          <w:rFonts w:ascii="Times New Roman" w:hAnsi="Times New Roman" w:cs="Times New Roman"/>
          <w:sz w:val="28"/>
          <w:szCs w:val="28"/>
        </w:rPr>
        <w:t xml:space="preserve">tate as well as non-State actors. </w:t>
      </w:r>
      <w:r w:rsidR="000E2465">
        <w:rPr>
          <w:rFonts w:ascii="Times New Roman" w:hAnsi="Times New Roman" w:cs="Times New Roman"/>
          <w:sz w:val="28"/>
          <w:szCs w:val="28"/>
        </w:rPr>
        <w:t xml:space="preserve">The frequency and severity </w:t>
      </w:r>
      <w:r w:rsidR="00EB29A9">
        <w:rPr>
          <w:rFonts w:ascii="Times New Roman" w:hAnsi="Times New Roman" w:cs="Times New Roman"/>
          <w:sz w:val="28"/>
          <w:szCs w:val="28"/>
        </w:rPr>
        <w:t xml:space="preserve">of </w:t>
      </w:r>
      <w:r>
        <w:rPr>
          <w:rFonts w:ascii="Times New Roman" w:hAnsi="Times New Roman" w:cs="Times New Roman"/>
          <w:sz w:val="28"/>
          <w:szCs w:val="28"/>
        </w:rPr>
        <w:t>such</w:t>
      </w:r>
      <w:r w:rsidR="00EB29A9">
        <w:rPr>
          <w:rFonts w:ascii="Times New Roman" w:hAnsi="Times New Roman" w:cs="Times New Roman"/>
          <w:sz w:val="28"/>
          <w:szCs w:val="28"/>
        </w:rPr>
        <w:t xml:space="preserve"> crimes have increased after the </w:t>
      </w:r>
      <w:r>
        <w:rPr>
          <w:rFonts w:ascii="Times New Roman" w:hAnsi="Times New Roman" w:cs="Times New Roman"/>
          <w:sz w:val="28"/>
          <w:szCs w:val="28"/>
        </w:rPr>
        <w:t xml:space="preserve">January </w:t>
      </w:r>
      <w:r w:rsidR="00EB29A9">
        <w:rPr>
          <w:rFonts w:ascii="Times New Roman" w:hAnsi="Times New Roman" w:cs="Times New Roman"/>
          <w:sz w:val="28"/>
          <w:szCs w:val="28"/>
        </w:rPr>
        <w:t>25</w:t>
      </w:r>
      <w:r w:rsidR="008677D9" w:rsidRPr="008677D9">
        <w:rPr>
          <w:rFonts w:ascii="Times New Roman" w:hAnsi="Times New Roman" w:cs="Times New Roman"/>
          <w:sz w:val="28"/>
          <w:szCs w:val="28"/>
          <w:vertAlign w:val="superscript"/>
        </w:rPr>
        <w:t>th</w:t>
      </w:r>
      <w:r w:rsidR="00EB29A9">
        <w:rPr>
          <w:rFonts w:ascii="Times New Roman" w:hAnsi="Times New Roman" w:cs="Times New Roman"/>
          <w:sz w:val="28"/>
          <w:szCs w:val="28"/>
        </w:rPr>
        <w:t xml:space="preserve"> </w:t>
      </w:r>
      <w:r>
        <w:rPr>
          <w:rFonts w:ascii="Times New Roman" w:hAnsi="Times New Roman" w:cs="Times New Roman"/>
          <w:sz w:val="28"/>
          <w:szCs w:val="28"/>
        </w:rPr>
        <w:t>R</w:t>
      </w:r>
      <w:r w:rsidR="00EB29A9">
        <w:rPr>
          <w:rFonts w:ascii="Times New Roman" w:hAnsi="Times New Roman" w:cs="Times New Roman"/>
          <w:sz w:val="28"/>
          <w:szCs w:val="28"/>
        </w:rPr>
        <w:t>evolution</w:t>
      </w:r>
      <w:r w:rsidR="00552C5F">
        <w:rPr>
          <w:rFonts w:ascii="Times New Roman" w:hAnsi="Times New Roman" w:cs="Times New Roman"/>
          <w:sz w:val="28"/>
          <w:szCs w:val="28"/>
        </w:rPr>
        <w:t xml:space="preserve"> </w:t>
      </w:r>
      <w:r w:rsidR="008677D9">
        <w:rPr>
          <w:rFonts w:ascii="Times New Roman" w:hAnsi="Times New Roman" w:cs="Times New Roman"/>
          <w:sz w:val="28"/>
          <w:szCs w:val="28"/>
        </w:rPr>
        <w:t>of</w:t>
      </w:r>
      <w:r>
        <w:rPr>
          <w:rFonts w:ascii="Times New Roman" w:hAnsi="Times New Roman" w:cs="Times New Roman"/>
          <w:sz w:val="28"/>
          <w:szCs w:val="28"/>
        </w:rPr>
        <w:t xml:space="preserve"> 2011</w:t>
      </w:r>
      <w:r w:rsidR="008677D9">
        <w:rPr>
          <w:rFonts w:ascii="Times New Roman" w:hAnsi="Times New Roman" w:cs="Times New Roman"/>
          <w:sz w:val="28"/>
          <w:szCs w:val="28"/>
        </w:rPr>
        <w:t xml:space="preserve">, </w:t>
      </w:r>
      <w:r w:rsidR="00552C5F">
        <w:rPr>
          <w:rFonts w:ascii="Times New Roman" w:hAnsi="Times New Roman" w:cs="Times New Roman"/>
          <w:sz w:val="28"/>
          <w:szCs w:val="28"/>
        </w:rPr>
        <w:t xml:space="preserve">due to the overwhelming flow of </w:t>
      </w:r>
      <w:r w:rsidR="004D5D25">
        <w:rPr>
          <w:rFonts w:ascii="Times New Roman" w:hAnsi="Times New Roman" w:cs="Times New Roman"/>
          <w:sz w:val="28"/>
          <w:szCs w:val="28"/>
        </w:rPr>
        <w:t>both w</w:t>
      </w:r>
      <w:r>
        <w:rPr>
          <w:rFonts w:ascii="Times New Roman" w:hAnsi="Times New Roman" w:cs="Times New Roman"/>
          <w:sz w:val="28"/>
          <w:szCs w:val="28"/>
        </w:rPr>
        <w:t xml:space="preserve">omen and </w:t>
      </w:r>
      <w:r w:rsidR="004D5D25">
        <w:rPr>
          <w:rFonts w:ascii="Times New Roman" w:hAnsi="Times New Roman" w:cs="Times New Roman"/>
          <w:sz w:val="28"/>
          <w:szCs w:val="28"/>
        </w:rPr>
        <w:t>m</w:t>
      </w:r>
      <w:r w:rsidR="00552C5F">
        <w:rPr>
          <w:rFonts w:ascii="Times New Roman" w:hAnsi="Times New Roman" w:cs="Times New Roman"/>
          <w:sz w:val="28"/>
          <w:szCs w:val="28"/>
        </w:rPr>
        <w:t>en in</w:t>
      </w:r>
      <w:r>
        <w:rPr>
          <w:rFonts w:ascii="Times New Roman" w:hAnsi="Times New Roman" w:cs="Times New Roman"/>
          <w:sz w:val="28"/>
          <w:szCs w:val="28"/>
        </w:rPr>
        <w:t>to the public sphere</w:t>
      </w:r>
      <w:r w:rsidR="00552C5F">
        <w:rPr>
          <w:rFonts w:ascii="Times New Roman" w:hAnsi="Times New Roman" w:cs="Times New Roman"/>
          <w:sz w:val="28"/>
          <w:szCs w:val="28"/>
        </w:rPr>
        <w:t xml:space="preserve">. </w:t>
      </w:r>
      <w:r>
        <w:rPr>
          <w:rFonts w:ascii="Times New Roman" w:hAnsi="Times New Roman" w:cs="Times New Roman"/>
          <w:sz w:val="28"/>
          <w:szCs w:val="28"/>
        </w:rPr>
        <w:t xml:space="preserve">Assaults ranged, in terms of severity and nature of the perpetrators, across a number of regions and governorates in Egypt, and throughout the multiplicity of political regimes that succeeded in power </w:t>
      </w:r>
      <w:r w:rsidR="0057750B">
        <w:rPr>
          <w:rFonts w:ascii="Times New Roman" w:hAnsi="Times New Roman" w:cs="Times New Roman"/>
          <w:sz w:val="28"/>
          <w:szCs w:val="28"/>
        </w:rPr>
        <w:t>after Mubarak stepp</w:t>
      </w:r>
      <w:r w:rsidR="00D206C0">
        <w:rPr>
          <w:rFonts w:ascii="Times New Roman" w:hAnsi="Times New Roman" w:cs="Times New Roman"/>
          <w:sz w:val="28"/>
          <w:szCs w:val="28"/>
        </w:rPr>
        <w:t>ed</w:t>
      </w:r>
      <w:r w:rsidR="0057750B">
        <w:rPr>
          <w:rFonts w:ascii="Times New Roman" w:hAnsi="Times New Roman" w:cs="Times New Roman"/>
          <w:sz w:val="28"/>
          <w:szCs w:val="28"/>
        </w:rPr>
        <w:t xml:space="preserve"> down in February 2011</w:t>
      </w:r>
      <w:r w:rsidR="00E230DA">
        <w:rPr>
          <w:rFonts w:ascii="Times New Roman" w:hAnsi="Times New Roman" w:cs="Times New Roman"/>
          <w:sz w:val="28"/>
          <w:szCs w:val="28"/>
        </w:rPr>
        <w:t xml:space="preserve">. </w:t>
      </w:r>
      <w:r w:rsidR="00876D16">
        <w:rPr>
          <w:rFonts w:ascii="Times New Roman" w:hAnsi="Times New Roman" w:cs="Times New Roman"/>
          <w:sz w:val="28"/>
          <w:szCs w:val="28"/>
        </w:rPr>
        <w:t>M</w:t>
      </w:r>
      <w:r>
        <w:rPr>
          <w:rFonts w:ascii="Times New Roman" w:hAnsi="Times New Roman" w:cs="Times New Roman"/>
          <w:sz w:val="28"/>
          <w:szCs w:val="28"/>
        </w:rPr>
        <w:t xml:space="preserve">any </w:t>
      </w:r>
      <w:r w:rsidR="00E230DA">
        <w:rPr>
          <w:rFonts w:ascii="Times New Roman" w:hAnsi="Times New Roman" w:cs="Times New Roman"/>
          <w:sz w:val="28"/>
          <w:szCs w:val="28"/>
        </w:rPr>
        <w:t>of these crimes ha</w:t>
      </w:r>
      <w:r w:rsidR="00876D16">
        <w:rPr>
          <w:rFonts w:ascii="Times New Roman" w:hAnsi="Times New Roman" w:cs="Times New Roman"/>
          <w:sz w:val="28"/>
          <w:szCs w:val="28"/>
        </w:rPr>
        <w:t>ve been monitored</w:t>
      </w:r>
      <w:r w:rsidR="00E230DA">
        <w:rPr>
          <w:rFonts w:ascii="Times New Roman" w:hAnsi="Times New Roman" w:cs="Times New Roman"/>
          <w:sz w:val="28"/>
          <w:szCs w:val="28"/>
        </w:rPr>
        <w:t xml:space="preserve"> by </w:t>
      </w:r>
      <w:r w:rsidR="004D5D25">
        <w:rPr>
          <w:rFonts w:ascii="Times New Roman" w:hAnsi="Times New Roman" w:cs="Times New Roman"/>
          <w:sz w:val="28"/>
          <w:szCs w:val="28"/>
        </w:rPr>
        <w:t>f</w:t>
      </w:r>
      <w:r w:rsidR="004F6998">
        <w:rPr>
          <w:rFonts w:ascii="Times New Roman" w:hAnsi="Times New Roman" w:cs="Times New Roman"/>
          <w:sz w:val="28"/>
          <w:szCs w:val="28"/>
        </w:rPr>
        <w:t>eminist organizations and groups over the past few years,</w:t>
      </w:r>
      <w:r w:rsidR="0000791A">
        <w:rPr>
          <w:rFonts w:ascii="Times New Roman" w:hAnsi="Times New Roman" w:cs="Times New Roman"/>
          <w:sz w:val="28"/>
          <w:szCs w:val="28"/>
        </w:rPr>
        <w:t xml:space="preserve"> </w:t>
      </w:r>
      <w:r>
        <w:rPr>
          <w:rFonts w:ascii="Times New Roman" w:hAnsi="Times New Roman" w:cs="Times New Roman"/>
          <w:sz w:val="28"/>
          <w:szCs w:val="28"/>
        </w:rPr>
        <w:t>with</w:t>
      </w:r>
      <w:r w:rsidR="0000791A">
        <w:rPr>
          <w:rFonts w:ascii="Times New Roman" w:hAnsi="Times New Roman" w:cs="Times New Roman"/>
          <w:sz w:val="28"/>
          <w:szCs w:val="28"/>
        </w:rPr>
        <w:t xml:space="preserve"> more than 500 </w:t>
      </w:r>
      <w:r>
        <w:rPr>
          <w:rFonts w:ascii="Times New Roman" w:hAnsi="Times New Roman" w:cs="Times New Roman"/>
          <w:sz w:val="28"/>
          <w:szCs w:val="28"/>
        </w:rPr>
        <w:t xml:space="preserve">documented </w:t>
      </w:r>
      <w:r w:rsidR="0000791A">
        <w:rPr>
          <w:rFonts w:ascii="Times New Roman" w:hAnsi="Times New Roman" w:cs="Times New Roman"/>
          <w:sz w:val="28"/>
          <w:szCs w:val="28"/>
        </w:rPr>
        <w:t>cases</w:t>
      </w:r>
      <w:r w:rsidR="00E114DB">
        <w:rPr>
          <w:rFonts w:ascii="Times New Roman" w:hAnsi="Times New Roman" w:cs="Times New Roman"/>
          <w:sz w:val="28"/>
          <w:szCs w:val="28"/>
        </w:rPr>
        <w:t xml:space="preserve"> of </w:t>
      </w:r>
      <w:r>
        <w:rPr>
          <w:rFonts w:ascii="Times New Roman" w:hAnsi="Times New Roman" w:cs="Times New Roman"/>
          <w:sz w:val="28"/>
          <w:szCs w:val="28"/>
        </w:rPr>
        <w:t>mass</w:t>
      </w:r>
      <w:r w:rsidR="00E114DB">
        <w:rPr>
          <w:rFonts w:ascii="Times New Roman" w:hAnsi="Times New Roman" w:cs="Times New Roman"/>
          <w:sz w:val="28"/>
          <w:szCs w:val="28"/>
        </w:rPr>
        <w:t xml:space="preserve"> sexual assaults</w:t>
      </w:r>
      <w:r w:rsidR="00AC7E21">
        <w:rPr>
          <w:rStyle w:val="FootnoteReference"/>
          <w:rFonts w:ascii="Times New Roman" w:hAnsi="Times New Roman" w:cs="Times New Roman"/>
          <w:b/>
          <w:bCs/>
          <w:sz w:val="28"/>
          <w:szCs w:val="28"/>
        </w:rPr>
        <w:footnoteReference w:id="1"/>
      </w:r>
      <w:r w:rsidR="00876D16">
        <w:rPr>
          <w:rFonts w:ascii="Times New Roman" w:hAnsi="Times New Roman" w:cs="Times New Roman"/>
          <w:sz w:val="28"/>
          <w:szCs w:val="28"/>
        </w:rPr>
        <w:t xml:space="preserve"> including instances of </w:t>
      </w:r>
      <w:r w:rsidR="004D5D25">
        <w:rPr>
          <w:rFonts w:ascii="Times New Roman" w:hAnsi="Times New Roman" w:cs="Times New Roman"/>
          <w:sz w:val="28"/>
          <w:szCs w:val="28"/>
        </w:rPr>
        <w:t>gang</w:t>
      </w:r>
      <w:r w:rsidR="00876D16">
        <w:rPr>
          <w:rFonts w:ascii="Times New Roman" w:hAnsi="Times New Roman" w:cs="Times New Roman"/>
          <w:sz w:val="28"/>
          <w:szCs w:val="28"/>
        </w:rPr>
        <w:t xml:space="preserve"> rape around</w:t>
      </w:r>
      <w:r w:rsidR="00E114DB">
        <w:rPr>
          <w:rFonts w:ascii="Times New Roman" w:hAnsi="Times New Roman" w:cs="Times New Roman"/>
          <w:sz w:val="28"/>
          <w:szCs w:val="28"/>
        </w:rPr>
        <w:t xml:space="preserve"> </w:t>
      </w:r>
      <w:proofErr w:type="spellStart"/>
      <w:r w:rsidR="00E114DB">
        <w:rPr>
          <w:rFonts w:ascii="Times New Roman" w:hAnsi="Times New Roman" w:cs="Times New Roman"/>
          <w:sz w:val="28"/>
          <w:szCs w:val="28"/>
        </w:rPr>
        <w:t>Tahrir</w:t>
      </w:r>
      <w:proofErr w:type="spellEnd"/>
      <w:r w:rsidR="00E114DB">
        <w:rPr>
          <w:rFonts w:ascii="Times New Roman" w:hAnsi="Times New Roman" w:cs="Times New Roman"/>
          <w:sz w:val="28"/>
          <w:szCs w:val="28"/>
        </w:rPr>
        <w:t xml:space="preserve"> Square </w:t>
      </w:r>
      <w:r w:rsidR="00876D16">
        <w:rPr>
          <w:rFonts w:ascii="Times New Roman" w:hAnsi="Times New Roman" w:cs="Times New Roman"/>
          <w:sz w:val="28"/>
          <w:szCs w:val="28"/>
        </w:rPr>
        <w:t>as well as in</w:t>
      </w:r>
      <w:r w:rsidR="00E114DB">
        <w:rPr>
          <w:rFonts w:ascii="Times New Roman" w:hAnsi="Times New Roman" w:cs="Times New Roman"/>
          <w:sz w:val="28"/>
          <w:szCs w:val="28"/>
        </w:rPr>
        <w:t xml:space="preserve"> other </w:t>
      </w:r>
      <w:r w:rsidR="00876D16">
        <w:rPr>
          <w:rFonts w:ascii="Times New Roman" w:hAnsi="Times New Roman" w:cs="Times New Roman"/>
          <w:sz w:val="28"/>
          <w:szCs w:val="28"/>
        </w:rPr>
        <w:t xml:space="preserve">places, individual and </w:t>
      </w:r>
      <w:r w:rsidR="004D5D25">
        <w:rPr>
          <w:rFonts w:ascii="Times New Roman" w:hAnsi="Times New Roman" w:cs="Times New Roman"/>
          <w:sz w:val="28"/>
          <w:szCs w:val="28"/>
        </w:rPr>
        <w:t>mob-</w:t>
      </w:r>
      <w:r w:rsidR="00876D16">
        <w:rPr>
          <w:rFonts w:ascii="Times New Roman" w:hAnsi="Times New Roman" w:cs="Times New Roman"/>
          <w:sz w:val="28"/>
          <w:szCs w:val="28"/>
        </w:rPr>
        <w:t>sexual assaults, and a huge number of sexual harassment cases;</w:t>
      </w:r>
      <w:r w:rsidR="00A31FF5">
        <w:rPr>
          <w:rFonts w:ascii="Times New Roman" w:hAnsi="Times New Roman" w:cs="Times New Roman"/>
          <w:sz w:val="28"/>
          <w:szCs w:val="28"/>
        </w:rPr>
        <w:t xml:space="preserve"> </w:t>
      </w:r>
      <w:r w:rsidR="00876D16">
        <w:rPr>
          <w:rFonts w:ascii="Times New Roman" w:hAnsi="Times New Roman" w:cs="Times New Roman"/>
          <w:sz w:val="28"/>
          <w:szCs w:val="28"/>
        </w:rPr>
        <w:t>offender</w:t>
      </w:r>
      <w:r w:rsidR="00A31FF5">
        <w:rPr>
          <w:rFonts w:ascii="Times New Roman" w:hAnsi="Times New Roman" w:cs="Times New Roman"/>
          <w:sz w:val="28"/>
          <w:szCs w:val="28"/>
        </w:rPr>
        <w:t>s</w:t>
      </w:r>
      <w:r w:rsidR="00876D16">
        <w:rPr>
          <w:rFonts w:ascii="Times New Roman" w:hAnsi="Times New Roman" w:cs="Times New Roman"/>
          <w:sz w:val="28"/>
          <w:szCs w:val="28"/>
        </w:rPr>
        <w:t xml:space="preserve"> have</w:t>
      </w:r>
      <w:r w:rsidR="00A31FF5">
        <w:rPr>
          <w:rFonts w:ascii="Times New Roman" w:hAnsi="Times New Roman" w:cs="Times New Roman"/>
          <w:sz w:val="28"/>
          <w:szCs w:val="28"/>
        </w:rPr>
        <w:t xml:space="preserve">, </w:t>
      </w:r>
      <w:r w:rsidR="00876D16">
        <w:rPr>
          <w:rFonts w:ascii="Times New Roman" w:hAnsi="Times New Roman" w:cs="Times New Roman"/>
          <w:sz w:val="28"/>
          <w:szCs w:val="28"/>
        </w:rPr>
        <w:t>so far, enjoyed impunity</w:t>
      </w:r>
      <w:r w:rsidR="00890913">
        <w:rPr>
          <w:rFonts w:ascii="Times New Roman" w:hAnsi="Times New Roman" w:cs="Times New Roman"/>
          <w:sz w:val="28"/>
          <w:szCs w:val="28"/>
        </w:rPr>
        <w:t>,</w:t>
      </w:r>
      <w:r w:rsidR="004571AD">
        <w:rPr>
          <w:rFonts w:ascii="Times New Roman" w:hAnsi="Times New Roman" w:cs="Times New Roman"/>
          <w:sz w:val="28"/>
          <w:szCs w:val="28"/>
        </w:rPr>
        <w:t xml:space="preserve"> with the exception o</w:t>
      </w:r>
      <w:r w:rsidR="00876D16">
        <w:rPr>
          <w:rFonts w:ascii="Times New Roman" w:hAnsi="Times New Roman" w:cs="Times New Roman"/>
          <w:sz w:val="28"/>
          <w:szCs w:val="28"/>
        </w:rPr>
        <w:t>f the prosecution of some offenders involved in crimes committed</w:t>
      </w:r>
      <w:r w:rsidR="004571AD">
        <w:rPr>
          <w:rFonts w:ascii="Times New Roman" w:hAnsi="Times New Roman" w:cs="Times New Roman"/>
          <w:sz w:val="28"/>
          <w:szCs w:val="28"/>
        </w:rPr>
        <w:t xml:space="preserve"> </w:t>
      </w:r>
      <w:r w:rsidR="004D5D25">
        <w:rPr>
          <w:rFonts w:ascii="Times New Roman" w:hAnsi="Times New Roman" w:cs="Times New Roman"/>
          <w:sz w:val="28"/>
          <w:szCs w:val="28"/>
        </w:rPr>
        <w:t xml:space="preserve">on </w:t>
      </w:r>
      <w:r w:rsidR="00876D16">
        <w:rPr>
          <w:rFonts w:ascii="Times New Roman" w:hAnsi="Times New Roman" w:cs="Times New Roman"/>
          <w:sz w:val="28"/>
          <w:szCs w:val="28"/>
        </w:rPr>
        <w:t xml:space="preserve">June </w:t>
      </w:r>
      <w:r w:rsidR="004571AD">
        <w:rPr>
          <w:rFonts w:ascii="Times New Roman" w:hAnsi="Times New Roman" w:cs="Times New Roman"/>
          <w:sz w:val="28"/>
          <w:szCs w:val="28"/>
        </w:rPr>
        <w:t>8</w:t>
      </w:r>
      <w:r w:rsidR="004571AD" w:rsidRPr="004571AD">
        <w:rPr>
          <w:rFonts w:ascii="Times New Roman" w:hAnsi="Times New Roman" w:cs="Times New Roman"/>
          <w:sz w:val="28"/>
          <w:szCs w:val="28"/>
          <w:vertAlign w:val="superscript"/>
        </w:rPr>
        <w:t>th</w:t>
      </w:r>
      <w:r w:rsidR="004571AD">
        <w:rPr>
          <w:rFonts w:ascii="Times New Roman" w:hAnsi="Times New Roman" w:cs="Times New Roman"/>
          <w:sz w:val="28"/>
          <w:szCs w:val="28"/>
        </w:rPr>
        <w:t xml:space="preserve"> 2014</w:t>
      </w:r>
      <w:r w:rsidR="00876D16">
        <w:rPr>
          <w:rFonts w:ascii="Times New Roman" w:hAnsi="Times New Roman" w:cs="Times New Roman"/>
          <w:sz w:val="28"/>
          <w:szCs w:val="28"/>
        </w:rPr>
        <w:t>,</w:t>
      </w:r>
      <w:r w:rsidR="004571AD">
        <w:rPr>
          <w:rFonts w:ascii="Times New Roman" w:hAnsi="Times New Roman" w:cs="Times New Roman"/>
          <w:sz w:val="28"/>
          <w:szCs w:val="28"/>
        </w:rPr>
        <w:t xml:space="preserve"> </w:t>
      </w:r>
      <w:r w:rsidR="00876D16">
        <w:rPr>
          <w:rFonts w:ascii="Times New Roman" w:hAnsi="Times New Roman" w:cs="Times New Roman"/>
          <w:sz w:val="28"/>
          <w:szCs w:val="28"/>
        </w:rPr>
        <w:t>during celebrations of the inauguration of the new president-elect</w:t>
      </w:r>
      <w:r w:rsidR="004D5D25">
        <w:rPr>
          <w:rFonts w:ascii="Times New Roman" w:hAnsi="Times New Roman" w:cs="Times New Roman"/>
          <w:sz w:val="28"/>
          <w:szCs w:val="28"/>
        </w:rPr>
        <w:t>ed</w:t>
      </w:r>
      <w:r w:rsidR="00876D16">
        <w:rPr>
          <w:rStyle w:val="FootnoteReference"/>
          <w:rFonts w:ascii="Times New Roman" w:hAnsi="Times New Roman" w:cs="Times New Roman"/>
          <w:sz w:val="28"/>
          <w:szCs w:val="28"/>
        </w:rPr>
        <w:footnoteReference w:id="2"/>
      </w:r>
      <w:r w:rsidR="00876D16">
        <w:rPr>
          <w:rFonts w:ascii="Times New Roman" w:hAnsi="Times New Roman" w:cs="Times New Roman"/>
          <w:sz w:val="28"/>
          <w:szCs w:val="28"/>
        </w:rPr>
        <w:t xml:space="preserve">, as survivors were able to identify those arrested.  </w:t>
      </w:r>
    </w:p>
    <w:p w:rsidR="00D81309" w:rsidRDefault="00B6647D" w:rsidP="00D65B3C">
      <w:pPr>
        <w:jc w:val="both"/>
        <w:rPr>
          <w:rFonts w:ascii="Times New Roman" w:hAnsi="Times New Roman" w:cs="Times New Roman"/>
          <w:sz w:val="28"/>
          <w:szCs w:val="28"/>
        </w:rPr>
      </w:pPr>
      <w:r>
        <w:rPr>
          <w:rFonts w:ascii="Times New Roman" w:hAnsi="Times New Roman" w:cs="Times New Roman"/>
          <w:sz w:val="28"/>
          <w:szCs w:val="28"/>
        </w:rPr>
        <w:t>On the other hand</w:t>
      </w:r>
      <w:r w:rsidR="00D81309">
        <w:rPr>
          <w:rFonts w:ascii="Times New Roman" w:hAnsi="Times New Roman" w:cs="Times New Roman"/>
          <w:sz w:val="28"/>
          <w:szCs w:val="28"/>
        </w:rPr>
        <w:t xml:space="preserve">, </w:t>
      </w:r>
      <w:r>
        <w:rPr>
          <w:rFonts w:ascii="Times New Roman" w:hAnsi="Times New Roman" w:cs="Times New Roman"/>
          <w:sz w:val="28"/>
          <w:szCs w:val="28"/>
        </w:rPr>
        <w:t>a</w:t>
      </w:r>
      <w:r w:rsidR="00D81309">
        <w:rPr>
          <w:rFonts w:ascii="Times New Roman" w:hAnsi="Times New Roman" w:cs="Times New Roman"/>
          <w:sz w:val="28"/>
          <w:szCs w:val="28"/>
        </w:rPr>
        <w:t xml:space="preserve"> quick </w:t>
      </w:r>
      <w:r>
        <w:rPr>
          <w:rFonts w:ascii="Times New Roman" w:hAnsi="Times New Roman" w:cs="Times New Roman"/>
          <w:sz w:val="28"/>
          <w:szCs w:val="28"/>
        </w:rPr>
        <w:t>overview of the status of Women  in Egypt shows</w:t>
      </w:r>
      <w:r w:rsidR="00D81309">
        <w:rPr>
          <w:rFonts w:ascii="Times New Roman" w:hAnsi="Times New Roman" w:cs="Times New Roman"/>
          <w:sz w:val="28"/>
          <w:szCs w:val="28"/>
        </w:rPr>
        <w:t xml:space="preserve"> </w:t>
      </w:r>
      <w:r>
        <w:rPr>
          <w:rFonts w:ascii="Times New Roman" w:hAnsi="Times New Roman" w:cs="Times New Roman"/>
          <w:sz w:val="28"/>
          <w:szCs w:val="28"/>
        </w:rPr>
        <w:t xml:space="preserve">that the </w:t>
      </w:r>
      <w:r w:rsidR="00D81309">
        <w:rPr>
          <w:rFonts w:ascii="Times New Roman" w:hAnsi="Times New Roman" w:cs="Times New Roman"/>
          <w:sz w:val="28"/>
          <w:szCs w:val="28"/>
        </w:rPr>
        <w:t xml:space="preserve">huge gap </w:t>
      </w:r>
      <w:r w:rsidR="004D5D25">
        <w:rPr>
          <w:rFonts w:ascii="Times New Roman" w:hAnsi="Times New Roman" w:cs="Times New Roman"/>
          <w:sz w:val="28"/>
          <w:szCs w:val="28"/>
        </w:rPr>
        <w:t xml:space="preserve">separating </w:t>
      </w:r>
      <w:proofErr w:type="spellStart"/>
      <w:r w:rsidR="004D5D25">
        <w:rPr>
          <w:rFonts w:ascii="Times New Roman" w:hAnsi="Times New Roman" w:cs="Times New Roman"/>
          <w:sz w:val="28"/>
          <w:szCs w:val="28"/>
        </w:rPr>
        <w:t>eomen</w:t>
      </w:r>
      <w:proofErr w:type="spellEnd"/>
      <w:r w:rsidR="004D5D25">
        <w:rPr>
          <w:rFonts w:ascii="Times New Roman" w:hAnsi="Times New Roman" w:cs="Times New Roman"/>
          <w:sz w:val="28"/>
          <w:szCs w:val="28"/>
        </w:rPr>
        <w:t xml:space="preserve"> from enjoying their human r</w:t>
      </w:r>
      <w:r>
        <w:rPr>
          <w:rFonts w:ascii="Times New Roman" w:hAnsi="Times New Roman" w:cs="Times New Roman"/>
          <w:sz w:val="28"/>
          <w:szCs w:val="28"/>
        </w:rPr>
        <w:t>ights has been</w:t>
      </w:r>
      <w:r w:rsidR="00D81309">
        <w:rPr>
          <w:rFonts w:ascii="Times New Roman" w:hAnsi="Times New Roman" w:cs="Times New Roman"/>
          <w:sz w:val="28"/>
          <w:szCs w:val="28"/>
        </w:rPr>
        <w:t xml:space="preserve"> </w:t>
      </w:r>
      <w:r w:rsidR="00D81309">
        <w:rPr>
          <w:rFonts w:ascii="Times New Roman" w:hAnsi="Times New Roman" w:cs="Times New Roman"/>
          <w:sz w:val="28"/>
          <w:szCs w:val="28"/>
        </w:rPr>
        <w:lastRenderedPageBreak/>
        <w:t xml:space="preserve">constantly </w:t>
      </w:r>
      <w:r w:rsidR="0053602F">
        <w:rPr>
          <w:rFonts w:ascii="Times New Roman" w:hAnsi="Times New Roman" w:cs="Times New Roman"/>
          <w:sz w:val="28"/>
          <w:szCs w:val="28"/>
        </w:rPr>
        <w:t xml:space="preserve">growing, </w:t>
      </w:r>
      <w:r>
        <w:rPr>
          <w:rFonts w:ascii="Times New Roman" w:hAnsi="Times New Roman" w:cs="Times New Roman"/>
          <w:sz w:val="28"/>
          <w:szCs w:val="28"/>
        </w:rPr>
        <w:t>especially after the January 25</w:t>
      </w:r>
      <w:r w:rsidRPr="00B6647D">
        <w:rPr>
          <w:rFonts w:ascii="Times New Roman" w:hAnsi="Times New Roman" w:cs="Times New Roman"/>
          <w:sz w:val="28"/>
          <w:szCs w:val="28"/>
          <w:vertAlign w:val="superscript"/>
        </w:rPr>
        <w:t>th</w:t>
      </w:r>
      <w:r w:rsidR="004D5D25">
        <w:rPr>
          <w:rFonts w:ascii="Times New Roman" w:hAnsi="Times New Roman" w:cs="Times New Roman"/>
          <w:sz w:val="28"/>
          <w:szCs w:val="28"/>
        </w:rPr>
        <w:t xml:space="preserve"> Revolution. Though w</w:t>
      </w:r>
      <w:r w:rsidR="0040112B">
        <w:rPr>
          <w:rFonts w:ascii="Times New Roman" w:hAnsi="Times New Roman" w:cs="Times New Roman"/>
          <w:sz w:val="28"/>
          <w:szCs w:val="28"/>
        </w:rPr>
        <w:t>omen have stood up along</w:t>
      </w:r>
      <w:r w:rsidR="000E0CE0">
        <w:rPr>
          <w:rFonts w:ascii="Times New Roman" w:hAnsi="Times New Roman" w:cs="Times New Roman"/>
          <w:sz w:val="28"/>
          <w:szCs w:val="28"/>
        </w:rPr>
        <w:t>side</w:t>
      </w:r>
      <w:r w:rsidR="0040112B">
        <w:rPr>
          <w:rFonts w:ascii="Times New Roman" w:hAnsi="Times New Roman" w:cs="Times New Roman"/>
          <w:sz w:val="28"/>
          <w:szCs w:val="28"/>
        </w:rPr>
        <w:t xml:space="preserve"> men</w:t>
      </w:r>
      <w:r>
        <w:rPr>
          <w:rFonts w:ascii="Times New Roman" w:hAnsi="Times New Roman" w:cs="Times New Roman"/>
          <w:sz w:val="28"/>
          <w:szCs w:val="28"/>
        </w:rPr>
        <w:t xml:space="preserve"> in the</w:t>
      </w:r>
      <w:r w:rsidR="000E0CE0">
        <w:rPr>
          <w:rFonts w:ascii="Times New Roman" w:hAnsi="Times New Roman" w:cs="Times New Roman"/>
          <w:sz w:val="28"/>
          <w:szCs w:val="28"/>
        </w:rPr>
        <w:t xml:space="preserve"> fight</w:t>
      </w:r>
      <w:r w:rsidR="0040112B">
        <w:rPr>
          <w:rFonts w:ascii="Times New Roman" w:hAnsi="Times New Roman" w:cs="Times New Roman"/>
          <w:sz w:val="28"/>
          <w:szCs w:val="28"/>
        </w:rPr>
        <w:t xml:space="preserve"> against injustice and tyranny</w:t>
      </w:r>
      <w:r w:rsidR="000E0CE0">
        <w:rPr>
          <w:rFonts w:ascii="Times New Roman" w:hAnsi="Times New Roman" w:cs="Times New Roman"/>
          <w:sz w:val="28"/>
          <w:szCs w:val="28"/>
        </w:rPr>
        <w:t xml:space="preserve"> </w:t>
      </w:r>
      <w:r w:rsidR="006E22E4">
        <w:rPr>
          <w:rFonts w:ascii="Times New Roman" w:hAnsi="Times New Roman" w:cs="Times New Roman"/>
          <w:sz w:val="28"/>
          <w:szCs w:val="28"/>
        </w:rPr>
        <w:t>all over</w:t>
      </w:r>
      <w:r>
        <w:rPr>
          <w:rFonts w:ascii="Times New Roman" w:hAnsi="Times New Roman" w:cs="Times New Roman"/>
          <w:sz w:val="28"/>
          <w:szCs w:val="28"/>
        </w:rPr>
        <w:t xml:space="preserve"> Egypt</w:t>
      </w:r>
      <w:r w:rsidR="000E0CE0">
        <w:rPr>
          <w:rFonts w:ascii="Times New Roman" w:hAnsi="Times New Roman" w:cs="Times New Roman"/>
          <w:sz w:val="28"/>
          <w:szCs w:val="28"/>
        </w:rPr>
        <w:t xml:space="preserve"> </w:t>
      </w:r>
      <w:r w:rsidR="00DA31C4">
        <w:rPr>
          <w:rFonts w:ascii="Times New Roman" w:hAnsi="Times New Roman" w:cs="Times New Roman"/>
          <w:sz w:val="28"/>
          <w:szCs w:val="28"/>
        </w:rPr>
        <w:t xml:space="preserve">until </w:t>
      </w:r>
      <w:r>
        <w:rPr>
          <w:rFonts w:ascii="Times New Roman" w:hAnsi="Times New Roman" w:cs="Times New Roman"/>
          <w:sz w:val="28"/>
          <w:szCs w:val="28"/>
        </w:rPr>
        <w:t xml:space="preserve">the old regime was overthrown, they have afterwards been one of the most excluded and marginalized </w:t>
      </w:r>
      <w:r w:rsidR="00D65B3C">
        <w:rPr>
          <w:rFonts w:ascii="Times New Roman" w:hAnsi="Times New Roman" w:cs="Times New Roman"/>
          <w:sz w:val="28"/>
          <w:szCs w:val="28"/>
        </w:rPr>
        <w:t xml:space="preserve">groups in all political, economic and legal domains. This is highlighted by recently published statistics, indicating deep </w:t>
      </w:r>
      <w:r w:rsidR="00145BC4">
        <w:rPr>
          <w:rFonts w:ascii="Times New Roman" w:hAnsi="Times New Roman" w:cs="Times New Roman"/>
          <w:sz w:val="28"/>
          <w:szCs w:val="28"/>
        </w:rPr>
        <w:t>economic and social ineq</w:t>
      </w:r>
      <w:r w:rsidR="004D5D25">
        <w:rPr>
          <w:rFonts w:ascii="Times New Roman" w:hAnsi="Times New Roman" w:cs="Times New Roman"/>
          <w:sz w:val="28"/>
          <w:szCs w:val="28"/>
        </w:rPr>
        <w:t>ualities  between w</w:t>
      </w:r>
      <w:r w:rsidR="00BB4D17">
        <w:rPr>
          <w:rFonts w:ascii="Times New Roman" w:hAnsi="Times New Roman" w:cs="Times New Roman"/>
          <w:sz w:val="28"/>
          <w:szCs w:val="28"/>
        </w:rPr>
        <w:t>omen and men</w:t>
      </w:r>
      <w:r w:rsidR="00D65B3C">
        <w:rPr>
          <w:rFonts w:ascii="Times New Roman" w:hAnsi="Times New Roman" w:cs="Times New Roman"/>
          <w:sz w:val="28"/>
          <w:szCs w:val="28"/>
        </w:rPr>
        <w:t>. Women still constitute</w:t>
      </w:r>
      <w:r w:rsidR="0002720D">
        <w:rPr>
          <w:rFonts w:ascii="Times New Roman" w:hAnsi="Times New Roman" w:cs="Times New Roman"/>
          <w:sz w:val="28"/>
          <w:szCs w:val="28"/>
        </w:rPr>
        <w:t xml:space="preserve"> the majority </w:t>
      </w:r>
      <w:r w:rsidR="00D65B3C">
        <w:rPr>
          <w:rFonts w:ascii="Times New Roman" w:hAnsi="Times New Roman" w:cs="Times New Roman"/>
          <w:sz w:val="28"/>
          <w:szCs w:val="28"/>
        </w:rPr>
        <w:t>of the poor and illiterate in</w:t>
      </w:r>
      <w:r w:rsidR="00872CA7">
        <w:rPr>
          <w:rFonts w:ascii="Times New Roman" w:hAnsi="Times New Roman" w:cs="Times New Roman"/>
          <w:sz w:val="28"/>
          <w:szCs w:val="28"/>
        </w:rPr>
        <w:t xml:space="preserve"> Egypt, they work longer hours</w:t>
      </w:r>
      <w:r w:rsidR="00D65B3C">
        <w:rPr>
          <w:rFonts w:ascii="Times New Roman" w:hAnsi="Times New Roman" w:cs="Times New Roman"/>
          <w:sz w:val="28"/>
          <w:szCs w:val="28"/>
        </w:rPr>
        <w:t>, they are paid less</w:t>
      </w:r>
      <w:r w:rsidR="004F1F53">
        <w:rPr>
          <w:rFonts w:ascii="Times New Roman" w:hAnsi="Times New Roman" w:cs="Times New Roman"/>
          <w:sz w:val="28"/>
          <w:szCs w:val="28"/>
        </w:rPr>
        <w:t xml:space="preserve">, and </w:t>
      </w:r>
      <w:r w:rsidR="00D65B3C">
        <w:rPr>
          <w:rFonts w:ascii="Times New Roman" w:hAnsi="Times New Roman" w:cs="Times New Roman"/>
          <w:sz w:val="28"/>
          <w:szCs w:val="28"/>
        </w:rPr>
        <w:t>they suffer physical and sexual violence at home, at wor</w:t>
      </w:r>
      <w:r w:rsidR="004D5D25">
        <w:rPr>
          <w:rFonts w:ascii="Times New Roman" w:hAnsi="Times New Roman" w:cs="Times New Roman"/>
          <w:sz w:val="28"/>
          <w:szCs w:val="28"/>
        </w:rPr>
        <w:t>k, and elsewhere. Furthermore, w</w:t>
      </w:r>
      <w:r w:rsidR="00D65B3C">
        <w:rPr>
          <w:rFonts w:ascii="Times New Roman" w:hAnsi="Times New Roman" w:cs="Times New Roman"/>
          <w:sz w:val="28"/>
          <w:szCs w:val="28"/>
        </w:rPr>
        <w:t xml:space="preserve">omen are minimally, if at all, represented in positions of authority and </w:t>
      </w:r>
      <w:r w:rsidR="003917FC">
        <w:rPr>
          <w:rFonts w:ascii="Times New Roman" w:hAnsi="Times New Roman" w:cs="Times New Roman"/>
          <w:sz w:val="28"/>
          <w:szCs w:val="28"/>
          <w:lang w:bidi="ar-EG"/>
        </w:rPr>
        <w:t>decision-making.</w:t>
      </w:r>
    </w:p>
    <w:p w:rsidR="00D42FAA" w:rsidRDefault="00C477CC" w:rsidP="00A2409D">
      <w:pPr>
        <w:jc w:val="both"/>
        <w:rPr>
          <w:rFonts w:ascii="Times New Roman" w:hAnsi="Times New Roman" w:cs="Times New Roman"/>
          <w:sz w:val="28"/>
          <w:szCs w:val="28"/>
          <w:lang w:bidi="ar-EG"/>
        </w:rPr>
      </w:pPr>
      <w:r>
        <w:rPr>
          <w:rFonts w:ascii="Times New Roman" w:hAnsi="Times New Roman" w:cs="Times New Roman"/>
          <w:sz w:val="28"/>
          <w:szCs w:val="28"/>
          <w:lang w:bidi="ar-EG"/>
        </w:rPr>
        <w:t>It is really unfortunate that</w:t>
      </w:r>
      <w:r w:rsidR="00D65B3C">
        <w:rPr>
          <w:rFonts w:ascii="Times New Roman" w:hAnsi="Times New Roman" w:cs="Times New Roman"/>
          <w:sz w:val="28"/>
          <w:szCs w:val="28"/>
          <w:lang w:bidi="ar-EG"/>
        </w:rPr>
        <w:t>,</w:t>
      </w:r>
      <w:r>
        <w:rPr>
          <w:rFonts w:ascii="Times New Roman" w:hAnsi="Times New Roman" w:cs="Times New Roman"/>
          <w:sz w:val="28"/>
          <w:szCs w:val="28"/>
          <w:lang w:bidi="ar-EG"/>
        </w:rPr>
        <w:t xml:space="preserve"> when trying to </w:t>
      </w:r>
      <w:r w:rsidR="001B44A7">
        <w:rPr>
          <w:rFonts w:ascii="Times New Roman" w:hAnsi="Times New Roman" w:cs="Times New Roman"/>
          <w:sz w:val="28"/>
          <w:szCs w:val="28"/>
          <w:lang w:bidi="ar-EG"/>
        </w:rPr>
        <w:t xml:space="preserve">figure out the reasons </w:t>
      </w:r>
      <w:r w:rsidR="00D65B3C">
        <w:rPr>
          <w:rFonts w:ascii="Times New Roman" w:hAnsi="Times New Roman" w:cs="Times New Roman"/>
          <w:sz w:val="28"/>
          <w:szCs w:val="28"/>
          <w:lang w:bidi="ar-EG"/>
        </w:rPr>
        <w:t xml:space="preserve">behind such consistent </w:t>
      </w:r>
      <w:r w:rsidR="004D5D25">
        <w:rPr>
          <w:rFonts w:ascii="Times New Roman" w:hAnsi="Times New Roman" w:cs="Times New Roman"/>
          <w:sz w:val="28"/>
          <w:szCs w:val="28"/>
          <w:lang w:bidi="ar-EG"/>
        </w:rPr>
        <w:t>deterioration in the status of women throughout the ages, the l</w:t>
      </w:r>
      <w:r w:rsidR="00D65B3C">
        <w:rPr>
          <w:rFonts w:ascii="Times New Roman" w:hAnsi="Times New Roman" w:cs="Times New Roman"/>
          <w:sz w:val="28"/>
          <w:szCs w:val="28"/>
          <w:lang w:bidi="ar-EG"/>
        </w:rPr>
        <w:t xml:space="preserve">aw itself is largely to be blamed. Many existing laws uphold </w:t>
      </w:r>
      <w:r w:rsidR="00A2409D">
        <w:rPr>
          <w:rFonts w:ascii="Times New Roman" w:hAnsi="Times New Roman" w:cs="Times New Roman"/>
          <w:sz w:val="28"/>
          <w:szCs w:val="28"/>
          <w:lang w:bidi="ar-EG"/>
        </w:rPr>
        <w:t xml:space="preserve">disparity and </w:t>
      </w:r>
      <w:r w:rsidR="004D5D25">
        <w:rPr>
          <w:rFonts w:ascii="Times New Roman" w:hAnsi="Times New Roman" w:cs="Times New Roman"/>
          <w:sz w:val="28"/>
          <w:szCs w:val="28"/>
          <w:lang w:bidi="ar-EG"/>
        </w:rPr>
        <w:t>discrimination between men and w</w:t>
      </w:r>
      <w:r w:rsidR="00A2409D">
        <w:rPr>
          <w:rFonts w:ascii="Times New Roman" w:hAnsi="Times New Roman" w:cs="Times New Roman"/>
          <w:sz w:val="28"/>
          <w:szCs w:val="28"/>
          <w:lang w:bidi="ar-EG"/>
        </w:rPr>
        <w:t xml:space="preserve">omen, with regard to various issues and rights, notably: criminal protection, personal status disputes, testifying in court, and penal provisions. The </w:t>
      </w:r>
      <w:r w:rsidR="002D10E0">
        <w:rPr>
          <w:rFonts w:ascii="Times New Roman" w:hAnsi="Times New Roman" w:cs="Times New Roman"/>
          <w:sz w:val="28"/>
          <w:szCs w:val="28"/>
          <w:lang w:bidi="ar-EG"/>
        </w:rPr>
        <w:t>Penal Code</w:t>
      </w:r>
      <w:r w:rsidR="00A2409D">
        <w:rPr>
          <w:rFonts w:ascii="Times New Roman" w:hAnsi="Times New Roman" w:cs="Times New Roman"/>
          <w:sz w:val="28"/>
          <w:szCs w:val="28"/>
          <w:lang w:bidi="ar-EG"/>
        </w:rPr>
        <w:t xml:space="preserve">, in particular, still allows husbands to discipline their wives by battery under the pretext of applying a right, in a addition to granting courts broad discretion in granting clemency in murder cases committed as "honor crimes". This body of law provides legal cover for systematic infringements on </w:t>
      </w:r>
      <w:r w:rsidR="004D5D25">
        <w:rPr>
          <w:rFonts w:ascii="Times New Roman" w:hAnsi="Times New Roman" w:cs="Times New Roman"/>
          <w:sz w:val="28"/>
          <w:szCs w:val="28"/>
          <w:lang w:bidi="ar-EG"/>
        </w:rPr>
        <w:t>the Human Rights of victimized w</w:t>
      </w:r>
      <w:r w:rsidR="00A2409D">
        <w:rPr>
          <w:rFonts w:ascii="Times New Roman" w:hAnsi="Times New Roman" w:cs="Times New Roman"/>
          <w:sz w:val="28"/>
          <w:szCs w:val="28"/>
          <w:lang w:bidi="ar-EG"/>
        </w:rPr>
        <w:t xml:space="preserve">omen. </w:t>
      </w:r>
    </w:p>
    <w:p w:rsidR="00D42FAA" w:rsidRDefault="00D42FAA" w:rsidP="004D5D25">
      <w:pPr>
        <w:jc w:val="both"/>
        <w:rPr>
          <w:rFonts w:ascii="Times New Roman" w:hAnsi="Times New Roman" w:cs="Times New Roman"/>
          <w:b/>
          <w:bCs/>
          <w:i/>
          <w:iCs/>
          <w:sz w:val="28"/>
          <w:szCs w:val="28"/>
          <w:lang w:bidi="ar-EG"/>
        </w:rPr>
      </w:pPr>
      <w:r w:rsidRPr="00D42FAA">
        <w:rPr>
          <w:rFonts w:ascii="Times New Roman" w:hAnsi="Times New Roman" w:cs="Times New Roman"/>
          <w:b/>
          <w:bCs/>
          <w:i/>
          <w:iCs/>
          <w:sz w:val="28"/>
          <w:szCs w:val="28"/>
          <w:lang w:bidi="ar-EG"/>
        </w:rPr>
        <w:t xml:space="preserve">Violence against </w:t>
      </w:r>
      <w:r w:rsidR="00A22737">
        <w:rPr>
          <w:rFonts w:ascii="Times New Roman" w:hAnsi="Times New Roman" w:cs="Times New Roman"/>
          <w:b/>
          <w:bCs/>
          <w:i/>
          <w:iCs/>
          <w:sz w:val="28"/>
          <w:szCs w:val="28"/>
          <w:lang w:bidi="ar-EG"/>
        </w:rPr>
        <w:t>W</w:t>
      </w:r>
      <w:r w:rsidRPr="00D42FAA">
        <w:rPr>
          <w:rFonts w:ascii="Times New Roman" w:hAnsi="Times New Roman" w:cs="Times New Roman"/>
          <w:b/>
          <w:bCs/>
          <w:i/>
          <w:iCs/>
          <w:sz w:val="28"/>
          <w:szCs w:val="28"/>
          <w:lang w:bidi="ar-EG"/>
        </w:rPr>
        <w:t xml:space="preserve">omen in </w:t>
      </w:r>
      <w:r w:rsidR="00A2409D">
        <w:rPr>
          <w:rFonts w:ascii="Times New Roman" w:hAnsi="Times New Roman" w:cs="Times New Roman"/>
          <w:b/>
          <w:bCs/>
          <w:i/>
          <w:iCs/>
          <w:sz w:val="28"/>
          <w:szCs w:val="28"/>
          <w:lang w:bidi="ar-EG"/>
        </w:rPr>
        <w:t xml:space="preserve">the </w:t>
      </w:r>
      <w:r w:rsidR="00A22737">
        <w:rPr>
          <w:rFonts w:ascii="Times New Roman" w:hAnsi="Times New Roman" w:cs="Times New Roman"/>
          <w:b/>
          <w:bCs/>
          <w:i/>
          <w:iCs/>
          <w:sz w:val="28"/>
          <w:szCs w:val="28"/>
          <w:lang w:bidi="ar-EG"/>
        </w:rPr>
        <w:t>P</w:t>
      </w:r>
      <w:r w:rsidRPr="00D42FAA">
        <w:rPr>
          <w:rFonts w:ascii="Times New Roman" w:hAnsi="Times New Roman" w:cs="Times New Roman"/>
          <w:b/>
          <w:bCs/>
          <w:i/>
          <w:iCs/>
          <w:sz w:val="28"/>
          <w:szCs w:val="28"/>
          <w:lang w:bidi="ar-EG"/>
        </w:rPr>
        <w:t>ublic</w:t>
      </w:r>
      <w:r w:rsidR="00A22737">
        <w:rPr>
          <w:rFonts w:ascii="Times New Roman" w:hAnsi="Times New Roman" w:cs="Times New Roman"/>
          <w:b/>
          <w:bCs/>
          <w:i/>
          <w:iCs/>
          <w:sz w:val="28"/>
          <w:szCs w:val="28"/>
          <w:lang w:bidi="ar-EG"/>
        </w:rPr>
        <w:t xml:space="preserve"> S</w:t>
      </w:r>
      <w:r w:rsidR="004D5D25">
        <w:rPr>
          <w:rFonts w:ascii="Times New Roman" w:hAnsi="Times New Roman" w:cs="Times New Roman"/>
          <w:b/>
          <w:bCs/>
          <w:i/>
          <w:iCs/>
          <w:sz w:val="28"/>
          <w:szCs w:val="28"/>
          <w:lang w:bidi="ar-EG"/>
        </w:rPr>
        <w:t>phere and t</w:t>
      </w:r>
      <w:r w:rsidR="00A22737">
        <w:rPr>
          <w:rFonts w:ascii="Times New Roman" w:hAnsi="Times New Roman" w:cs="Times New Roman"/>
          <w:b/>
          <w:bCs/>
          <w:i/>
          <w:iCs/>
          <w:sz w:val="28"/>
          <w:szCs w:val="28"/>
          <w:lang w:bidi="ar-EG"/>
        </w:rPr>
        <w:t>he L</w:t>
      </w:r>
      <w:r w:rsidR="004D5D25">
        <w:rPr>
          <w:rFonts w:ascii="Times New Roman" w:hAnsi="Times New Roman" w:cs="Times New Roman"/>
          <w:b/>
          <w:bCs/>
          <w:i/>
          <w:iCs/>
          <w:sz w:val="28"/>
          <w:szCs w:val="28"/>
          <w:lang w:bidi="ar-EG"/>
        </w:rPr>
        <w:t xml:space="preserve">egal </w:t>
      </w:r>
      <w:r w:rsidR="00A22737">
        <w:rPr>
          <w:rFonts w:ascii="Times New Roman" w:hAnsi="Times New Roman" w:cs="Times New Roman"/>
          <w:b/>
          <w:bCs/>
          <w:i/>
          <w:iCs/>
          <w:sz w:val="28"/>
          <w:szCs w:val="28"/>
          <w:lang w:bidi="ar-EG"/>
        </w:rPr>
        <w:t>Issues I</w:t>
      </w:r>
      <w:r w:rsidR="00A2409D">
        <w:rPr>
          <w:rFonts w:ascii="Times New Roman" w:hAnsi="Times New Roman" w:cs="Times New Roman"/>
          <w:b/>
          <w:bCs/>
          <w:i/>
          <w:iCs/>
          <w:sz w:val="28"/>
          <w:szCs w:val="28"/>
          <w:lang w:bidi="ar-EG"/>
        </w:rPr>
        <w:t>nvolved</w:t>
      </w:r>
    </w:p>
    <w:p w:rsidR="00006F9A" w:rsidRDefault="00A2409D" w:rsidP="000111C2">
      <w:pPr>
        <w:jc w:val="both"/>
        <w:rPr>
          <w:rFonts w:ascii="Times New Roman" w:hAnsi="Times New Roman" w:cs="Times New Roman"/>
          <w:sz w:val="28"/>
          <w:szCs w:val="28"/>
          <w:lang w:bidi="ar-EG"/>
        </w:rPr>
      </w:pPr>
      <w:r>
        <w:rPr>
          <w:rFonts w:ascii="Times New Roman" w:hAnsi="Times New Roman" w:cs="Times New Roman"/>
          <w:sz w:val="28"/>
          <w:szCs w:val="28"/>
          <w:lang w:bidi="ar-EG"/>
        </w:rPr>
        <w:t>Many factors contribute to the</w:t>
      </w:r>
      <w:r w:rsidR="00006F9A">
        <w:rPr>
          <w:rFonts w:ascii="Times New Roman" w:hAnsi="Times New Roman" w:cs="Times New Roman"/>
          <w:sz w:val="28"/>
          <w:szCs w:val="28"/>
          <w:lang w:bidi="ar-EG"/>
        </w:rPr>
        <w:t xml:space="preserve"> spreading of a</w:t>
      </w:r>
      <w:r w:rsidR="00D42FAA">
        <w:rPr>
          <w:rFonts w:ascii="Times New Roman" w:hAnsi="Times New Roman" w:cs="Times New Roman"/>
          <w:sz w:val="28"/>
          <w:szCs w:val="28"/>
          <w:lang w:bidi="ar-EG"/>
        </w:rPr>
        <w:t xml:space="preserve"> culture of impunity </w:t>
      </w:r>
      <w:r w:rsidR="00006F9A">
        <w:rPr>
          <w:rFonts w:ascii="Times New Roman" w:hAnsi="Times New Roman" w:cs="Times New Roman"/>
          <w:sz w:val="28"/>
          <w:szCs w:val="28"/>
          <w:lang w:bidi="ar-EG"/>
        </w:rPr>
        <w:t xml:space="preserve">among </w:t>
      </w:r>
      <w:r w:rsidR="00D42FAA">
        <w:rPr>
          <w:rFonts w:ascii="Times New Roman" w:hAnsi="Times New Roman" w:cs="Times New Roman"/>
          <w:sz w:val="28"/>
          <w:szCs w:val="28"/>
          <w:lang w:bidi="ar-EG"/>
        </w:rPr>
        <w:t xml:space="preserve">perpetrators of </w:t>
      </w:r>
      <w:r w:rsidR="00006F9A">
        <w:rPr>
          <w:rFonts w:ascii="Times New Roman" w:hAnsi="Times New Roman" w:cs="Times New Roman"/>
          <w:sz w:val="28"/>
          <w:szCs w:val="28"/>
          <w:lang w:bidi="ar-EG"/>
        </w:rPr>
        <w:t>violent</w:t>
      </w:r>
      <w:r w:rsidR="00D42FAA">
        <w:rPr>
          <w:rFonts w:ascii="Times New Roman" w:hAnsi="Times New Roman" w:cs="Times New Roman"/>
          <w:sz w:val="28"/>
          <w:szCs w:val="28"/>
          <w:lang w:bidi="ar-EG"/>
        </w:rPr>
        <w:t xml:space="preserve"> crimes</w:t>
      </w:r>
      <w:r w:rsidR="004D5D25">
        <w:rPr>
          <w:rFonts w:ascii="Times New Roman" w:hAnsi="Times New Roman" w:cs="Times New Roman"/>
          <w:sz w:val="28"/>
          <w:szCs w:val="28"/>
          <w:lang w:bidi="ar-EG"/>
        </w:rPr>
        <w:t xml:space="preserve"> against w</w:t>
      </w:r>
      <w:r w:rsidR="00006F9A">
        <w:rPr>
          <w:rFonts w:ascii="Times New Roman" w:hAnsi="Times New Roman" w:cs="Times New Roman"/>
          <w:sz w:val="28"/>
          <w:szCs w:val="28"/>
          <w:lang w:bidi="ar-EG"/>
        </w:rPr>
        <w:t>omen, i</w:t>
      </w:r>
      <w:r w:rsidR="004D5D25">
        <w:rPr>
          <w:rFonts w:ascii="Times New Roman" w:hAnsi="Times New Roman" w:cs="Times New Roman"/>
          <w:sz w:val="28"/>
          <w:szCs w:val="28"/>
          <w:lang w:bidi="ar-EG"/>
        </w:rPr>
        <w:t xml:space="preserve">ncluding the social </w:t>
      </w:r>
      <w:proofErr w:type="spellStart"/>
      <w:r w:rsidR="004D5D25">
        <w:rPr>
          <w:rFonts w:ascii="Times New Roman" w:hAnsi="Times New Roman" w:cs="Times New Roman"/>
          <w:sz w:val="28"/>
          <w:szCs w:val="28"/>
          <w:lang w:bidi="ar-EG"/>
        </w:rPr>
        <w:t>stigmatizion</w:t>
      </w:r>
      <w:proofErr w:type="spellEnd"/>
      <w:r w:rsidR="00006F9A">
        <w:rPr>
          <w:rFonts w:ascii="Times New Roman" w:hAnsi="Times New Roman" w:cs="Times New Roman"/>
          <w:sz w:val="28"/>
          <w:szCs w:val="28"/>
          <w:lang w:bidi="ar-EG"/>
        </w:rPr>
        <w:t xml:space="preserve"> and blaming of survivors, and the lack of broad and comprehensive </w:t>
      </w:r>
      <w:r w:rsidR="00ED534D">
        <w:rPr>
          <w:rFonts w:ascii="Times New Roman" w:hAnsi="Times New Roman" w:cs="Times New Roman"/>
          <w:sz w:val="28"/>
          <w:szCs w:val="28"/>
          <w:lang w:bidi="ar-EG"/>
        </w:rPr>
        <w:t xml:space="preserve">definitions </w:t>
      </w:r>
      <w:r w:rsidR="00006F9A">
        <w:rPr>
          <w:rFonts w:ascii="Times New Roman" w:hAnsi="Times New Roman" w:cs="Times New Roman"/>
          <w:sz w:val="28"/>
          <w:szCs w:val="28"/>
          <w:lang w:bidi="ar-EG"/>
        </w:rPr>
        <w:t xml:space="preserve">of such offenses. For example, the definition of </w:t>
      </w:r>
      <w:r w:rsidR="004D5D25">
        <w:rPr>
          <w:rFonts w:ascii="Times New Roman" w:hAnsi="Times New Roman" w:cs="Times New Roman"/>
          <w:sz w:val="28"/>
          <w:szCs w:val="28"/>
          <w:lang w:bidi="ar-EG"/>
        </w:rPr>
        <w:t>t</w:t>
      </w:r>
      <w:r w:rsidR="00006F9A">
        <w:rPr>
          <w:rFonts w:ascii="Times New Roman" w:hAnsi="Times New Roman" w:cs="Times New Roman"/>
          <w:sz w:val="28"/>
          <w:szCs w:val="28"/>
          <w:lang w:bidi="ar-EG"/>
        </w:rPr>
        <w:t xml:space="preserve">he crime of rape in Article 267 of the Egyptian </w:t>
      </w:r>
      <w:r w:rsidR="002D10E0">
        <w:rPr>
          <w:rFonts w:ascii="Times New Roman" w:hAnsi="Times New Roman" w:cs="Times New Roman"/>
          <w:sz w:val="28"/>
          <w:szCs w:val="28"/>
          <w:lang w:bidi="ar-EG"/>
        </w:rPr>
        <w:t>Penal Code</w:t>
      </w:r>
      <w:r w:rsidR="003B0C8B">
        <w:rPr>
          <w:rFonts w:ascii="Times New Roman" w:hAnsi="Times New Roman" w:cs="Times New Roman"/>
          <w:sz w:val="28"/>
          <w:szCs w:val="28"/>
          <w:lang w:bidi="ar-EG"/>
        </w:rPr>
        <w:t xml:space="preserve"> is limited to the insertion </w:t>
      </w:r>
      <w:r w:rsidR="00006F9A">
        <w:rPr>
          <w:rFonts w:ascii="Times New Roman" w:hAnsi="Times New Roman" w:cs="Times New Roman"/>
          <w:sz w:val="28"/>
          <w:szCs w:val="28"/>
          <w:lang w:bidi="ar-EG"/>
        </w:rPr>
        <w:t xml:space="preserve">of the offender's penis into the survivor's vagina , whereas sexual assault is defined in Article 268 of the same code as </w:t>
      </w:r>
      <w:r w:rsidR="000111C2">
        <w:rPr>
          <w:rFonts w:ascii="Times New Roman" w:hAnsi="Times New Roman" w:cs="Times New Roman"/>
          <w:sz w:val="28"/>
          <w:szCs w:val="28"/>
          <w:lang w:bidi="ar-EG"/>
        </w:rPr>
        <w:t>a crime of indecency</w:t>
      </w:r>
      <w:r w:rsidR="004D5D25">
        <w:rPr>
          <w:rFonts w:ascii="Times New Roman" w:hAnsi="Times New Roman" w:cs="Times New Roman"/>
          <w:sz w:val="28"/>
          <w:szCs w:val="28"/>
          <w:lang w:bidi="ar-EG"/>
        </w:rPr>
        <w:t>, "indecent violation"</w:t>
      </w:r>
      <w:r w:rsidR="00006F9A">
        <w:rPr>
          <w:rFonts w:ascii="Times New Roman" w:hAnsi="Times New Roman" w:cs="Times New Roman"/>
          <w:sz w:val="28"/>
          <w:szCs w:val="28"/>
          <w:lang w:bidi="ar-EG"/>
        </w:rPr>
        <w:t xml:space="preserve">. Although the former interim President, Judge </w:t>
      </w:r>
      <w:proofErr w:type="spellStart"/>
      <w:r w:rsidR="00006F9A">
        <w:rPr>
          <w:rFonts w:ascii="Times New Roman" w:hAnsi="Times New Roman" w:cs="Times New Roman"/>
          <w:sz w:val="28"/>
          <w:szCs w:val="28"/>
          <w:lang w:bidi="ar-EG"/>
        </w:rPr>
        <w:t>Adly</w:t>
      </w:r>
      <w:proofErr w:type="spellEnd"/>
      <w:r w:rsidR="00006F9A">
        <w:rPr>
          <w:rFonts w:ascii="Times New Roman" w:hAnsi="Times New Roman" w:cs="Times New Roman"/>
          <w:sz w:val="28"/>
          <w:szCs w:val="28"/>
          <w:lang w:bidi="ar-EG"/>
        </w:rPr>
        <w:t xml:space="preserve"> </w:t>
      </w:r>
      <w:proofErr w:type="spellStart"/>
      <w:r w:rsidR="00006F9A">
        <w:rPr>
          <w:rFonts w:ascii="Times New Roman" w:hAnsi="Times New Roman" w:cs="Times New Roman"/>
          <w:sz w:val="28"/>
          <w:szCs w:val="28"/>
          <w:lang w:bidi="ar-EG"/>
        </w:rPr>
        <w:t>Mansour</w:t>
      </w:r>
      <w:proofErr w:type="spellEnd"/>
      <w:r w:rsidR="00006F9A">
        <w:rPr>
          <w:rFonts w:ascii="Times New Roman" w:hAnsi="Times New Roman" w:cs="Times New Roman"/>
          <w:sz w:val="28"/>
          <w:szCs w:val="28"/>
          <w:lang w:bidi="ar-EG"/>
        </w:rPr>
        <w:t xml:space="preserve">, issued decree-law no. 50/2014 amending some provisions of the </w:t>
      </w:r>
      <w:r w:rsidR="002D10E0">
        <w:rPr>
          <w:rFonts w:ascii="Times New Roman" w:hAnsi="Times New Roman" w:cs="Times New Roman"/>
          <w:sz w:val="28"/>
          <w:szCs w:val="28"/>
          <w:lang w:bidi="ar-EG"/>
        </w:rPr>
        <w:t>Penal Code</w:t>
      </w:r>
      <w:r w:rsidR="00006F9A">
        <w:rPr>
          <w:rFonts w:ascii="Times New Roman" w:hAnsi="Times New Roman" w:cs="Times New Roman"/>
          <w:sz w:val="28"/>
          <w:szCs w:val="28"/>
          <w:lang w:bidi="ar-EG"/>
        </w:rPr>
        <w:t xml:space="preserve"> promulgated by law no. 58/1937, which amended Article 306(</w:t>
      </w:r>
      <w:proofErr w:type="spellStart"/>
      <w:r w:rsidR="00006F9A">
        <w:rPr>
          <w:rFonts w:ascii="Times New Roman" w:hAnsi="Times New Roman" w:cs="Times New Roman"/>
          <w:sz w:val="28"/>
          <w:szCs w:val="28"/>
          <w:lang w:bidi="ar-EG"/>
        </w:rPr>
        <w:t>bis</w:t>
      </w:r>
      <w:proofErr w:type="spellEnd"/>
      <w:r w:rsidR="00006F9A">
        <w:rPr>
          <w:rFonts w:ascii="Times New Roman" w:hAnsi="Times New Roman" w:cs="Times New Roman"/>
          <w:sz w:val="28"/>
          <w:szCs w:val="28"/>
          <w:lang w:bidi="ar-EG"/>
        </w:rPr>
        <w:t>)A by enforcing stricter penalties and added article 306(</w:t>
      </w:r>
      <w:proofErr w:type="spellStart"/>
      <w:r w:rsidR="00006F9A">
        <w:rPr>
          <w:rFonts w:ascii="Times New Roman" w:hAnsi="Times New Roman" w:cs="Times New Roman"/>
          <w:sz w:val="28"/>
          <w:szCs w:val="28"/>
          <w:lang w:bidi="ar-EG"/>
        </w:rPr>
        <w:t>bis</w:t>
      </w:r>
      <w:proofErr w:type="spellEnd"/>
      <w:r w:rsidR="00006F9A">
        <w:rPr>
          <w:rFonts w:ascii="Times New Roman" w:hAnsi="Times New Roman" w:cs="Times New Roman"/>
          <w:sz w:val="28"/>
          <w:szCs w:val="28"/>
          <w:lang w:bidi="ar-EG"/>
        </w:rPr>
        <w:t xml:space="preserve">)B to introduce the crime of Sexual Harassment for the first time in the history of Egyptian legislation, </w:t>
      </w:r>
      <w:r w:rsidR="00687600">
        <w:rPr>
          <w:rFonts w:ascii="Times New Roman" w:hAnsi="Times New Roman" w:cs="Times New Roman"/>
          <w:sz w:val="28"/>
          <w:szCs w:val="28"/>
          <w:lang w:bidi="ar-EG"/>
        </w:rPr>
        <w:t xml:space="preserve">this is hardly sufficient to tackle the wide-spread crimes </w:t>
      </w:r>
      <w:r w:rsidR="00687600">
        <w:rPr>
          <w:rFonts w:ascii="Times New Roman" w:hAnsi="Times New Roman" w:cs="Times New Roman"/>
          <w:sz w:val="28"/>
          <w:szCs w:val="28"/>
          <w:lang w:bidi="ar-EG"/>
        </w:rPr>
        <w:lastRenderedPageBreak/>
        <w:t>referred to. It should be noted that the persistent impunity of offenders is a result of failure to initiate a comprehensive investigation. In that regard, various feminist and human rights groups and organization</w:t>
      </w:r>
      <w:r w:rsidR="004D5D25">
        <w:rPr>
          <w:rFonts w:ascii="Times New Roman" w:hAnsi="Times New Roman" w:cs="Times New Roman"/>
          <w:sz w:val="28"/>
          <w:szCs w:val="28"/>
          <w:lang w:bidi="ar-EG"/>
        </w:rPr>
        <w:t>s have called for the development</w:t>
      </w:r>
      <w:r w:rsidR="00687600">
        <w:rPr>
          <w:rFonts w:ascii="Times New Roman" w:hAnsi="Times New Roman" w:cs="Times New Roman"/>
          <w:sz w:val="28"/>
          <w:szCs w:val="28"/>
          <w:lang w:bidi="ar-EG"/>
        </w:rPr>
        <w:t xml:space="preserve"> and implementation of a comprehensive national strategy for the eliminat</w:t>
      </w:r>
      <w:r w:rsidR="004D5D25">
        <w:rPr>
          <w:rFonts w:ascii="Times New Roman" w:hAnsi="Times New Roman" w:cs="Times New Roman"/>
          <w:sz w:val="28"/>
          <w:szCs w:val="28"/>
          <w:lang w:bidi="ar-EG"/>
        </w:rPr>
        <w:t>ion of sexual violence against w</w:t>
      </w:r>
      <w:r w:rsidR="00687600">
        <w:rPr>
          <w:rFonts w:ascii="Times New Roman" w:hAnsi="Times New Roman" w:cs="Times New Roman"/>
          <w:sz w:val="28"/>
          <w:szCs w:val="28"/>
          <w:lang w:bidi="ar-EG"/>
        </w:rPr>
        <w:t>omen</w:t>
      </w:r>
      <w:r w:rsidR="00687600">
        <w:rPr>
          <w:rStyle w:val="FootnoteReference"/>
          <w:rFonts w:ascii="Times New Roman" w:hAnsi="Times New Roman" w:cs="Times New Roman"/>
          <w:sz w:val="28"/>
          <w:szCs w:val="28"/>
          <w:lang w:bidi="ar-EG"/>
        </w:rPr>
        <w:footnoteReference w:id="3"/>
      </w:r>
      <w:r w:rsidR="00687600">
        <w:rPr>
          <w:rFonts w:ascii="Times New Roman" w:hAnsi="Times New Roman" w:cs="Times New Roman"/>
          <w:sz w:val="28"/>
          <w:szCs w:val="28"/>
          <w:lang w:bidi="ar-EG"/>
        </w:rPr>
        <w:t xml:space="preserve">. </w:t>
      </w:r>
      <w:r w:rsidR="000111C2">
        <w:rPr>
          <w:rFonts w:ascii="Times New Roman" w:hAnsi="Times New Roman" w:cs="Times New Roman"/>
          <w:sz w:val="28"/>
          <w:szCs w:val="28"/>
          <w:lang w:bidi="ar-EG"/>
        </w:rPr>
        <w:t xml:space="preserve">Although this strategy is currently being developed by a committee coordinated by the National Council of Women, its substance has </w:t>
      </w:r>
      <w:r w:rsidR="00687600">
        <w:rPr>
          <w:rFonts w:ascii="Times New Roman" w:hAnsi="Times New Roman" w:cs="Times New Roman"/>
          <w:sz w:val="28"/>
          <w:szCs w:val="28"/>
          <w:lang w:bidi="ar-EG"/>
        </w:rPr>
        <w:t xml:space="preserve">yet to be transparently publicized, </w:t>
      </w:r>
      <w:r w:rsidR="000111C2">
        <w:rPr>
          <w:rFonts w:ascii="Times New Roman" w:hAnsi="Times New Roman" w:cs="Times New Roman"/>
          <w:sz w:val="28"/>
          <w:szCs w:val="28"/>
          <w:lang w:bidi="ar-EG"/>
        </w:rPr>
        <w:t>and no serious dialogue or consultation was initiated with the organizations and groups that called for it.</w:t>
      </w:r>
      <w:r w:rsidR="00006F9A">
        <w:rPr>
          <w:rFonts w:ascii="Times New Roman" w:hAnsi="Times New Roman" w:cs="Times New Roman"/>
          <w:sz w:val="28"/>
          <w:szCs w:val="28"/>
          <w:lang w:bidi="ar-EG"/>
        </w:rPr>
        <w:t xml:space="preserve"> </w:t>
      </w:r>
    </w:p>
    <w:p w:rsidR="008F571A" w:rsidRDefault="008F571A" w:rsidP="000111C2">
      <w:pPr>
        <w:jc w:val="both"/>
        <w:rPr>
          <w:rFonts w:ascii="Times New Roman" w:hAnsi="Times New Roman" w:cs="Times New Roman"/>
          <w:i/>
          <w:iCs/>
          <w:sz w:val="28"/>
          <w:szCs w:val="28"/>
          <w:lang w:bidi="ar-EG"/>
        </w:rPr>
      </w:pPr>
      <w:r w:rsidRPr="008F571A">
        <w:rPr>
          <w:rFonts w:ascii="Times New Roman" w:hAnsi="Times New Roman" w:cs="Times New Roman"/>
          <w:i/>
          <w:iCs/>
          <w:sz w:val="28"/>
          <w:szCs w:val="28"/>
          <w:lang w:bidi="ar-EG"/>
        </w:rPr>
        <w:t xml:space="preserve">Legislative </w:t>
      </w:r>
      <w:r w:rsidR="000111C2">
        <w:rPr>
          <w:rFonts w:ascii="Times New Roman" w:hAnsi="Times New Roman" w:cs="Times New Roman"/>
          <w:i/>
          <w:iCs/>
          <w:sz w:val="28"/>
          <w:szCs w:val="28"/>
          <w:lang w:bidi="ar-EG"/>
        </w:rPr>
        <w:t>Recommendations</w:t>
      </w:r>
      <w:r w:rsidRPr="008F571A">
        <w:rPr>
          <w:rFonts w:ascii="Times New Roman" w:hAnsi="Times New Roman" w:cs="Times New Roman"/>
          <w:i/>
          <w:iCs/>
          <w:sz w:val="28"/>
          <w:szCs w:val="28"/>
          <w:lang w:bidi="ar-EG"/>
        </w:rPr>
        <w:t>:</w:t>
      </w:r>
    </w:p>
    <w:p w:rsidR="00BE3FF7" w:rsidRDefault="000111C2" w:rsidP="00BE3FF7">
      <w:pPr>
        <w:pStyle w:val="ListParagraph"/>
        <w:numPr>
          <w:ilvl w:val="0"/>
          <w:numId w:val="1"/>
        </w:numPr>
        <w:ind w:left="714" w:hanging="357"/>
        <w:contextualSpacing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Consolidation of all legal provisions on Sexual Violence under one title, namely Title IV of Book III of the </w:t>
      </w:r>
      <w:r w:rsidR="002D10E0">
        <w:rPr>
          <w:rFonts w:ascii="Times New Roman" w:hAnsi="Times New Roman" w:cs="Times New Roman"/>
          <w:sz w:val="28"/>
          <w:szCs w:val="28"/>
          <w:lang w:bidi="ar-EG"/>
        </w:rPr>
        <w:t>Penal Code</w:t>
      </w:r>
      <w:r>
        <w:rPr>
          <w:rFonts w:ascii="Times New Roman" w:hAnsi="Times New Roman" w:cs="Times New Roman"/>
          <w:sz w:val="28"/>
          <w:szCs w:val="28"/>
          <w:lang w:bidi="ar-EG"/>
        </w:rPr>
        <w:t>, instead of being under three separate titles. The heading of the consolidated title should be "Crimes of Sexual Violence" rather than "Crimes of Indecency"</w:t>
      </w:r>
      <w:r w:rsidR="00BE3FF7">
        <w:rPr>
          <w:rFonts w:ascii="Times New Roman" w:hAnsi="Times New Roman" w:cs="Times New Roman"/>
          <w:sz w:val="28"/>
          <w:szCs w:val="28"/>
          <w:lang w:bidi="ar-EG"/>
        </w:rPr>
        <w:t xml:space="preserve">. If associated with moral values, the violent and inhumane nature of the crimes in question is blurred, and offenders are not held accountable pursuant to this nature. </w:t>
      </w:r>
    </w:p>
    <w:p w:rsidR="00BE3FF7" w:rsidRDefault="00BE3FF7" w:rsidP="004D5D25">
      <w:pPr>
        <w:pStyle w:val="ListParagraph"/>
        <w:numPr>
          <w:ilvl w:val="0"/>
          <w:numId w:val="1"/>
        </w:numPr>
        <w:ind w:left="714" w:hanging="357"/>
        <w:contextualSpacing w:val="0"/>
        <w:jc w:val="both"/>
        <w:rPr>
          <w:rFonts w:ascii="Times New Roman" w:hAnsi="Times New Roman" w:cs="Times New Roman"/>
          <w:sz w:val="28"/>
          <w:szCs w:val="28"/>
          <w:lang w:bidi="ar-EG"/>
        </w:rPr>
      </w:pPr>
      <w:r w:rsidRPr="00BE3FF7">
        <w:rPr>
          <w:rFonts w:ascii="Times New Roman" w:hAnsi="Times New Roman" w:cs="Times New Roman"/>
          <w:sz w:val="28"/>
          <w:szCs w:val="28"/>
          <w:lang w:bidi="ar-EG"/>
        </w:rPr>
        <w:t xml:space="preserve">Developing </w:t>
      </w:r>
      <w:r w:rsidR="003D77E3" w:rsidRPr="00BE3FF7">
        <w:rPr>
          <w:rFonts w:ascii="Times New Roman" w:hAnsi="Times New Roman" w:cs="Times New Roman"/>
          <w:sz w:val="28"/>
          <w:szCs w:val="28"/>
          <w:lang w:bidi="ar-EG"/>
        </w:rPr>
        <w:t xml:space="preserve">clear and specific definitions of sexual crimes </w:t>
      </w:r>
      <w:r>
        <w:rPr>
          <w:rFonts w:ascii="Times New Roman" w:hAnsi="Times New Roman" w:cs="Times New Roman"/>
          <w:sz w:val="28"/>
          <w:szCs w:val="28"/>
          <w:lang w:bidi="ar-EG"/>
        </w:rPr>
        <w:t xml:space="preserve">across Egyptian legislation. These definitions should include </w:t>
      </w:r>
      <w:r w:rsidR="0037521D" w:rsidRPr="00BE3FF7">
        <w:rPr>
          <w:rFonts w:ascii="Times New Roman" w:hAnsi="Times New Roman" w:cs="Times New Roman"/>
          <w:sz w:val="28"/>
          <w:szCs w:val="28"/>
          <w:lang w:bidi="ar-EG"/>
        </w:rPr>
        <w:t>anal and oral rape</w:t>
      </w:r>
      <w:r>
        <w:rPr>
          <w:rFonts w:ascii="Times New Roman" w:hAnsi="Times New Roman" w:cs="Times New Roman"/>
          <w:sz w:val="28"/>
          <w:szCs w:val="28"/>
          <w:lang w:bidi="ar-EG"/>
        </w:rPr>
        <w:t xml:space="preserve"> </w:t>
      </w:r>
      <w:r w:rsidRPr="00BE3FF7">
        <w:rPr>
          <w:rFonts w:ascii="Times New Roman" w:hAnsi="Times New Roman" w:cs="Times New Roman"/>
          <w:sz w:val="28"/>
          <w:szCs w:val="28"/>
          <w:lang w:bidi="ar-EG"/>
        </w:rPr>
        <w:t>as well as rape by fingers or tools,</w:t>
      </w:r>
      <w:r>
        <w:rPr>
          <w:rFonts w:ascii="Times New Roman" w:hAnsi="Times New Roman" w:cs="Times New Roman"/>
          <w:sz w:val="28"/>
          <w:szCs w:val="28"/>
          <w:lang w:bidi="ar-EG"/>
        </w:rPr>
        <w:t xml:space="preserve"> to replace the deficient definition in Article 267 which </w:t>
      </w:r>
      <w:r w:rsidRPr="00BE3FF7">
        <w:rPr>
          <w:rFonts w:ascii="Times New Roman" w:hAnsi="Times New Roman" w:cs="Times New Roman"/>
          <w:sz w:val="28"/>
          <w:szCs w:val="28"/>
          <w:lang w:bidi="ar-EG"/>
        </w:rPr>
        <w:t xml:space="preserve">falls short of addressing the recent </w:t>
      </w:r>
      <w:r w:rsidR="004D5D25">
        <w:rPr>
          <w:rFonts w:ascii="Times New Roman" w:hAnsi="Times New Roman" w:cs="Times New Roman"/>
          <w:sz w:val="28"/>
          <w:szCs w:val="28"/>
          <w:lang w:bidi="ar-EG"/>
        </w:rPr>
        <w:t>gang</w:t>
      </w:r>
      <w:r w:rsidRPr="00BE3FF7">
        <w:rPr>
          <w:rFonts w:ascii="Times New Roman" w:hAnsi="Times New Roman" w:cs="Times New Roman"/>
          <w:sz w:val="28"/>
          <w:szCs w:val="28"/>
          <w:lang w:bidi="ar-EG"/>
        </w:rPr>
        <w:t xml:space="preserve"> rapes</w:t>
      </w:r>
      <w:r>
        <w:rPr>
          <w:rFonts w:ascii="Times New Roman" w:hAnsi="Times New Roman" w:cs="Times New Roman"/>
          <w:sz w:val="28"/>
          <w:szCs w:val="28"/>
          <w:lang w:bidi="ar-EG"/>
        </w:rPr>
        <w:t xml:space="preserve">. </w:t>
      </w:r>
      <w:r w:rsidR="005D6ABC">
        <w:rPr>
          <w:rFonts w:ascii="Times New Roman" w:hAnsi="Times New Roman" w:cs="Times New Roman"/>
          <w:sz w:val="28"/>
          <w:szCs w:val="28"/>
          <w:lang w:bidi="ar-EG"/>
        </w:rPr>
        <w:t xml:space="preserve">Moreover, Article 268 provides no definition for sexual assault, which should be defined to include  </w:t>
      </w:r>
      <w:r w:rsidR="005D6ABC" w:rsidRPr="005D6ABC">
        <w:rPr>
          <w:rFonts w:ascii="Times New Roman" w:hAnsi="Times New Roman" w:cs="Times New Roman"/>
          <w:sz w:val="28"/>
          <w:szCs w:val="28"/>
          <w:lang w:bidi="ar-EG"/>
        </w:rPr>
        <w:t>any intrusive act against the survivor leading to her or his degradation, as well as sexual acts performed without the consent of the survivor which do not amount to rape.</w:t>
      </w:r>
    </w:p>
    <w:p w:rsidR="005D6ABC" w:rsidRDefault="005D6ABC" w:rsidP="005D6ABC">
      <w:pPr>
        <w:pStyle w:val="ListParagraph"/>
        <w:numPr>
          <w:ilvl w:val="0"/>
          <w:numId w:val="1"/>
        </w:numPr>
        <w:ind w:left="714" w:hanging="357"/>
        <w:contextualSpacing w:val="0"/>
        <w:jc w:val="both"/>
        <w:rPr>
          <w:rFonts w:ascii="Times New Roman" w:hAnsi="Times New Roman" w:cs="Times New Roman"/>
          <w:sz w:val="28"/>
          <w:szCs w:val="28"/>
          <w:lang w:bidi="ar-EG"/>
        </w:rPr>
      </w:pPr>
      <w:r>
        <w:rPr>
          <w:rFonts w:ascii="Times New Roman" w:hAnsi="Times New Roman" w:cs="Times New Roman"/>
          <w:sz w:val="28"/>
          <w:szCs w:val="28"/>
          <w:lang w:bidi="ar-EG"/>
        </w:rPr>
        <w:t>Omission of any reference to the victim's sex in all sexual crimes, and providing for general applicability regardless of the victim's sex. The crimes in question are committed in all forms against men, women, boys and girls alike.</w:t>
      </w:r>
    </w:p>
    <w:p w:rsidR="00C34E4B" w:rsidRPr="00483FFE" w:rsidRDefault="005D6ABC" w:rsidP="00A22737">
      <w:pPr>
        <w:pStyle w:val="ListParagraph"/>
        <w:numPr>
          <w:ilvl w:val="0"/>
          <w:numId w:val="1"/>
        </w:numPr>
        <w:ind w:left="714" w:hanging="357"/>
        <w:contextualSpacing w:val="0"/>
        <w:jc w:val="both"/>
        <w:rPr>
          <w:rFonts w:ascii="Times New Roman" w:hAnsi="Times New Roman" w:cs="Times New Roman"/>
          <w:sz w:val="28"/>
          <w:szCs w:val="28"/>
          <w:lang w:bidi="ar-EG"/>
        </w:rPr>
      </w:pPr>
      <w:r>
        <w:rPr>
          <w:rFonts w:ascii="Times New Roman" w:hAnsi="Times New Roman" w:cs="Times New Roman"/>
          <w:sz w:val="28"/>
          <w:szCs w:val="28"/>
          <w:lang w:bidi="ar-EG"/>
        </w:rPr>
        <w:t>Enacting</w:t>
      </w:r>
      <w:r w:rsidR="00B069A5" w:rsidRPr="00C13F0C">
        <w:rPr>
          <w:rFonts w:ascii="Times New Roman" w:hAnsi="Times New Roman" w:cs="Times New Roman"/>
          <w:sz w:val="28"/>
          <w:szCs w:val="28"/>
          <w:lang w:bidi="ar-EG"/>
        </w:rPr>
        <w:t xml:space="preserve"> </w:t>
      </w:r>
      <w:r>
        <w:rPr>
          <w:rFonts w:ascii="Times New Roman" w:hAnsi="Times New Roman" w:cs="Times New Roman"/>
          <w:sz w:val="28"/>
          <w:szCs w:val="28"/>
          <w:lang w:bidi="ar-EG"/>
        </w:rPr>
        <w:t xml:space="preserve">provisions within the planned law on the protection of witnesses and whistleblowers, to protect the privacy of the information and personal </w:t>
      </w:r>
      <w:r>
        <w:rPr>
          <w:rFonts w:ascii="Times New Roman" w:hAnsi="Times New Roman" w:cs="Times New Roman"/>
          <w:sz w:val="28"/>
          <w:szCs w:val="28"/>
          <w:lang w:bidi="ar-EG"/>
        </w:rPr>
        <w:lastRenderedPageBreak/>
        <w:t xml:space="preserve">details of whistleblowers and </w:t>
      </w:r>
      <w:r w:rsidR="00483FFE">
        <w:rPr>
          <w:rFonts w:ascii="Times New Roman" w:hAnsi="Times New Roman" w:cs="Times New Roman"/>
          <w:sz w:val="28"/>
          <w:szCs w:val="28"/>
          <w:lang w:bidi="ar-EG"/>
        </w:rPr>
        <w:t xml:space="preserve">witnesses in sexual crimes. Law enforcement and prosecution authorities should be held accountable for any leaking of such information. The reason for this is that, in many documented cases where sexual harassment was reported to the police, the offender's family would visit the reporting </w:t>
      </w:r>
      <w:r w:rsidR="00A22737">
        <w:rPr>
          <w:rFonts w:ascii="Times New Roman" w:hAnsi="Times New Roman" w:cs="Times New Roman"/>
          <w:sz w:val="28"/>
          <w:szCs w:val="28"/>
          <w:lang w:bidi="ar-EG"/>
        </w:rPr>
        <w:t>survivor</w:t>
      </w:r>
      <w:r w:rsidR="00483FFE">
        <w:rPr>
          <w:rFonts w:ascii="Times New Roman" w:hAnsi="Times New Roman" w:cs="Times New Roman"/>
          <w:sz w:val="28"/>
          <w:szCs w:val="28"/>
          <w:lang w:bidi="ar-EG"/>
        </w:rPr>
        <w:t xml:space="preserve"> at home and pressure her not to pursue legal proceedings, despite restraining orders being issued. This is a result of allowing lawyers of the accused to review the police reports, where the addresses of the reporting </w:t>
      </w:r>
      <w:r w:rsidR="00A22737">
        <w:rPr>
          <w:rFonts w:ascii="Times New Roman" w:hAnsi="Times New Roman" w:cs="Times New Roman"/>
          <w:sz w:val="28"/>
          <w:szCs w:val="28"/>
          <w:lang w:bidi="ar-EG"/>
        </w:rPr>
        <w:t>survivors</w:t>
      </w:r>
      <w:r w:rsidR="00483FFE">
        <w:rPr>
          <w:rFonts w:ascii="Times New Roman" w:hAnsi="Times New Roman" w:cs="Times New Roman"/>
          <w:sz w:val="28"/>
          <w:szCs w:val="28"/>
          <w:lang w:bidi="ar-EG"/>
        </w:rPr>
        <w:t xml:space="preserve"> are listed. </w:t>
      </w:r>
    </w:p>
    <w:p w:rsidR="00483FFE" w:rsidRDefault="00483FFE" w:rsidP="00483FFE">
      <w:pPr>
        <w:jc w:val="both"/>
        <w:rPr>
          <w:rFonts w:ascii="Times New Roman" w:hAnsi="Times New Roman" w:cs="Times New Roman"/>
          <w:b/>
          <w:bCs/>
          <w:i/>
          <w:iCs/>
          <w:sz w:val="28"/>
          <w:szCs w:val="28"/>
          <w:lang w:bidi="ar-EG"/>
        </w:rPr>
      </w:pPr>
    </w:p>
    <w:p w:rsidR="00C34E4B" w:rsidRPr="00630221" w:rsidRDefault="00427D68" w:rsidP="002D10E0">
      <w:pPr>
        <w:jc w:val="both"/>
        <w:rPr>
          <w:rFonts w:ascii="Times New Roman" w:hAnsi="Times New Roman" w:cs="Times New Roman"/>
          <w:b/>
          <w:bCs/>
          <w:i/>
          <w:iCs/>
          <w:sz w:val="28"/>
          <w:szCs w:val="28"/>
          <w:lang w:bidi="ar-EG"/>
        </w:rPr>
      </w:pPr>
      <w:r w:rsidRPr="00630221">
        <w:rPr>
          <w:rFonts w:ascii="Times New Roman" w:hAnsi="Times New Roman" w:cs="Times New Roman"/>
          <w:b/>
          <w:bCs/>
          <w:i/>
          <w:iCs/>
          <w:sz w:val="28"/>
          <w:szCs w:val="28"/>
          <w:lang w:bidi="ar-EG"/>
        </w:rPr>
        <w:t xml:space="preserve">Laws that </w:t>
      </w:r>
      <w:r w:rsidR="002D10E0">
        <w:rPr>
          <w:rFonts w:ascii="Times New Roman" w:hAnsi="Times New Roman" w:cs="Times New Roman"/>
          <w:b/>
          <w:bCs/>
          <w:i/>
          <w:iCs/>
          <w:sz w:val="28"/>
          <w:szCs w:val="28"/>
          <w:lang w:bidi="ar-EG"/>
        </w:rPr>
        <w:t>D</w:t>
      </w:r>
      <w:r w:rsidRPr="00630221">
        <w:rPr>
          <w:rFonts w:ascii="Times New Roman" w:hAnsi="Times New Roman" w:cs="Times New Roman"/>
          <w:b/>
          <w:bCs/>
          <w:i/>
          <w:iCs/>
          <w:sz w:val="28"/>
          <w:szCs w:val="28"/>
          <w:lang w:bidi="ar-EG"/>
        </w:rPr>
        <w:t xml:space="preserve">iscriminate against </w:t>
      </w:r>
      <w:r w:rsidR="002D10E0">
        <w:rPr>
          <w:rFonts w:ascii="Times New Roman" w:hAnsi="Times New Roman" w:cs="Times New Roman"/>
          <w:b/>
          <w:bCs/>
          <w:i/>
          <w:iCs/>
          <w:sz w:val="28"/>
          <w:szCs w:val="28"/>
          <w:lang w:bidi="ar-EG"/>
        </w:rPr>
        <w:t>Women (L</w:t>
      </w:r>
      <w:r w:rsidRPr="00630221">
        <w:rPr>
          <w:rFonts w:ascii="Times New Roman" w:hAnsi="Times New Roman" w:cs="Times New Roman"/>
          <w:b/>
          <w:bCs/>
          <w:i/>
          <w:iCs/>
          <w:sz w:val="28"/>
          <w:szCs w:val="28"/>
          <w:lang w:bidi="ar-EG"/>
        </w:rPr>
        <w:t xml:space="preserve">aws that </w:t>
      </w:r>
      <w:r w:rsidR="00A22737">
        <w:rPr>
          <w:rFonts w:ascii="Times New Roman" w:hAnsi="Times New Roman" w:cs="Times New Roman"/>
          <w:b/>
          <w:bCs/>
          <w:i/>
          <w:iCs/>
          <w:sz w:val="28"/>
          <w:szCs w:val="28"/>
          <w:lang w:bidi="ar-EG"/>
        </w:rPr>
        <w:t>Systematically R</w:t>
      </w:r>
      <w:r w:rsidR="002D10E0">
        <w:rPr>
          <w:rFonts w:ascii="Times New Roman" w:hAnsi="Times New Roman" w:cs="Times New Roman"/>
          <w:b/>
          <w:bCs/>
          <w:i/>
          <w:iCs/>
          <w:sz w:val="28"/>
          <w:szCs w:val="28"/>
          <w:lang w:bidi="ar-EG"/>
        </w:rPr>
        <w:t>einforce Violence against W</w:t>
      </w:r>
      <w:r w:rsidRPr="00630221">
        <w:rPr>
          <w:rFonts w:ascii="Times New Roman" w:hAnsi="Times New Roman" w:cs="Times New Roman"/>
          <w:b/>
          <w:bCs/>
          <w:i/>
          <w:iCs/>
          <w:sz w:val="28"/>
          <w:szCs w:val="28"/>
          <w:lang w:bidi="ar-EG"/>
        </w:rPr>
        <w:t>omen)</w:t>
      </w:r>
    </w:p>
    <w:p w:rsidR="00427D68" w:rsidRDefault="00630221" w:rsidP="00483FFE">
      <w:pPr>
        <w:jc w:val="both"/>
        <w:rPr>
          <w:rFonts w:ascii="Times New Roman" w:hAnsi="Times New Roman" w:cs="Times New Roman"/>
          <w:b/>
          <w:bCs/>
          <w:i/>
          <w:iCs/>
          <w:sz w:val="28"/>
          <w:szCs w:val="28"/>
          <w:lang w:bidi="ar-EG"/>
        </w:rPr>
      </w:pPr>
      <w:r w:rsidRPr="00630221">
        <w:rPr>
          <w:rFonts w:ascii="Times New Roman" w:hAnsi="Times New Roman" w:cs="Times New Roman"/>
          <w:b/>
          <w:bCs/>
          <w:i/>
          <w:iCs/>
          <w:sz w:val="28"/>
          <w:szCs w:val="28"/>
          <w:lang w:bidi="ar-EG"/>
        </w:rPr>
        <w:t xml:space="preserve">The Egyptian </w:t>
      </w:r>
      <w:r w:rsidR="002D10E0">
        <w:rPr>
          <w:rFonts w:ascii="Times New Roman" w:hAnsi="Times New Roman" w:cs="Times New Roman"/>
          <w:b/>
          <w:bCs/>
          <w:i/>
          <w:iCs/>
          <w:sz w:val="28"/>
          <w:szCs w:val="28"/>
          <w:lang w:bidi="ar-EG"/>
        </w:rPr>
        <w:t>Penal Code</w:t>
      </w:r>
      <w:r w:rsidRPr="00630221">
        <w:rPr>
          <w:rFonts w:ascii="Times New Roman" w:hAnsi="Times New Roman" w:cs="Times New Roman"/>
          <w:b/>
          <w:bCs/>
          <w:i/>
          <w:iCs/>
          <w:sz w:val="28"/>
          <w:szCs w:val="28"/>
          <w:lang w:bidi="ar-EG"/>
        </w:rPr>
        <w:t>:</w:t>
      </w:r>
    </w:p>
    <w:p w:rsidR="002D10E0" w:rsidRPr="002D10E0" w:rsidRDefault="00DC57A8" w:rsidP="002D10E0">
      <w:pPr>
        <w:jc w:val="both"/>
        <w:rPr>
          <w:rFonts w:ascii="Times New Roman" w:hAnsi="Times New Roman" w:cs="Times New Roman"/>
          <w:sz w:val="28"/>
          <w:szCs w:val="28"/>
          <w:lang w:bidi="ar-EG"/>
        </w:rPr>
      </w:pPr>
      <w:r>
        <w:rPr>
          <w:rFonts w:ascii="Times New Roman" w:hAnsi="Times New Roman" w:cs="Times New Roman"/>
          <w:sz w:val="28"/>
          <w:szCs w:val="28"/>
          <w:lang w:bidi="ar-EG"/>
        </w:rPr>
        <w:t>1-</w:t>
      </w:r>
      <w:r w:rsidR="002D10E0">
        <w:rPr>
          <w:rFonts w:ascii="Times New Roman" w:hAnsi="Times New Roman" w:cs="Times New Roman"/>
          <w:sz w:val="28"/>
          <w:szCs w:val="28"/>
          <w:lang w:bidi="ar-EG"/>
        </w:rPr>
        <w:t xml:space="preserve"> </w:t>
      </w:r>
      <w:r w:rsidR="002D10E0" w:rsidRPr="002D10E0">
        <w:rPr>
          <w:rFonts w:ascii="Times New Roman" w:hAnsi="Times New Roman" w:cs="Times New Roman"/>
          <w:sz w:val="28"/>
          <w:szCs w:val="28"/>
          <w:lang w:bidi="ar-EG"/>
        </w:rPr>
        <w:t>Article</w:t>
      </w:r>
      <w:r w:rsidR="002D10E0">
        <w:rPr>
          <w:rFonts w:ascii="Times New Roman" w:hAnsi="Times New Roman" w:cs="Times New Roman"/>
          <w:sz w:val="28"/>
          <w:szCs w:val="28"/>
          <w:lang w:bidi="ar-EG"/>
        </w:rPr>
        <w:t xml:space="preserve"> (17) of the Egyptian Penal code</w:t>
      </w:r>
      <w:r w:rsidR="002D10E0" w:rsidRPr="002D10E0">
        <w:rPr>
          <w:rFonts w:ascii="Times New Roman" w:hAnsi="Times New Roman" w:cs="Times New Roman"/>
          <w:sz w:val="28"/>
          <w:szCs w:val="28"/>
          <w:lang w:bidi="ar-EG"/>
        </w:rPr>
        <w:t xml:space="preserve"> is particularly problematic in rape crimes, since it gives judges the discretion to apply maximum clemency in reducing the pr</w:t>
      </w:r>
      <w:r w:rsidR="002D10E0">
        <w:rPr>
          <w:rFonts w:ascii="Times New Roman" w:hAnsi="Times New Roman" w:cs="Times New Roman"/>
          <w:sz w:val="28"/>
          <w:szCs w:val="28"/>
          <w:lang w:bidi="ar-EG"/>
        </w:rPr>
        <w:t xml:space="preserve">escribed penalty by two degrees, as it states: </w:t>
      </w:r>
      <w:r w:rsidR="002D10E0" w:rsidRPr="002D10E0">
        <w:rPr>
          <w:rFonts w:ascii="Times New Roman" w:hAnsi="Times New Roman" w:cs="Times New Roman"/>
          <w:sz w:val="28"/>
          <w:szCs w:val="28"/>
          <w:lang w:bidi="ar-EG"/>
        </w:rPr>
        <w:t xml:space="preserve"> </w:t>
      </w:r>
      <w:r w:rsidR="002D10E0">
        <w:rPr>
          <w:rFonts w:ascii="Times New Roman" w:hAnsi="Times New Roman" w:cs="Times New Roman"/>
          <w:sz w:val="28"/>
          <w:szCs w:val="28"/>
          <w:lang w:bidi="ar-EG"/>
        </w:rPr>
        <w:t>"</w:t>
      </w:r>
      <w:r w:rsidR="002D10E0" w:rsidRPr="002D10E0">
        <w:rPr>
          <w:rFonts w:ascii="Times New Roman" w:hAnsi="Times New Roman" w:cs="Times New Roman"/>
          <w:sz w:val="28"/>
          <w:szCs w:val="28"/>
          <w:lang w:bidi="ar-EG"/>
        </w:rPr>
        <w:t>In felony counts, if the conditions of the crime for which public prosecution is initiated necessitate clemency on part of the judges, the penalty may be changed as follows:</w:t>
      </w:r>
    </w:p>
    <w:p w:rsidR="002D10E0" w:rsidRPr="002D10E0" w:rsidRDefault="002D10E0" w:rsidP="002D10E0">
      <w:pPr>
        <w:ind w:left="851" w:hanging="142"/>
        <w:jc w:val="both"/>
        <w:rPr>
          <w:rFonts w:ascii="Times New Roman" w:hAnsi="Times New Roman" w:cs="Times New Roman"/>
          <w:sz w:val="28"/>
          <w:szCs w:val="28"/>
          <w:lang w:bidi="ar-EG"/>
        </w:rPr>
      </w:pPr>
      <w:r w:rsidRPr="002D10E0">
        <w:rPr>
          <w:rFonts w:ascii="Times New Roman" w:hAnsi="Times New Roman" w:cs="Times New Roman"/>
          <w:sz w:val="28"/>
          <w:szCs w:val="28"/>
          <w:lang w:bidi="ar-EG"/>
        </w:rPr>
        <w:t>•</w:t>
      </w:r>
      <w:r w:rsidRPr="002D10E0">
        <w:rPr>
          <w:rFonts w:ascii="Times New Roman" w:hAnsi="Times New Roman" w:cs="Times New Roman"/>
          <w:sz w:val="28"/>
          <w:szCs w:val="28"/>
          <w:lang w:bidi="ar-EG"/>
        </w:rPr>
        <w:tab/>
        <w:t>Capital punishment may be reduced to life imprisonment or rigorous imprisonment.</w:t>
      </w:r>
    </w:p>
    <w:p w:rsidR="002D10E0" w:rsidRPr="002D10E0" w:rsidRDefault="002D10E0" w:rsidP="002D10E0">
      <w:pPr>
        <w:ind w:left="851" w:hanging="142"/>
        <w:jc w:val="both"/>
        <w:rPr>
          <w:rFonts w:ascii="Times New Roman" w:hAnsi="Times New Roman" w:cs="Times New Roman"/>
          <w:sz w:val="28"/>
          <w:szCs w:val="28"/>
          <w:lang w:bidi="ar-EG"/>
        </w:rPr>
      </w:pPr>
      <w:r w:rsidRPr="002D10E0">
        <w:rPr>
          <w:rFonts w:ascii="Times New Roman" w:hAnsi="Times New Roman" w:cs="Times New Roman"/>
          <w:sz w:val="28"/>
          <w:szCs w:val="28"/>
          <w:lang w:bidi="ar-EG"/>
        </w:rPr>
        <w:t>•</w:t>
      </w:r>
      <w:r w:rsidRPr="002D10E0">
        <w:rPr>
          <w:rFonts w:ascii="Times New Roman" w:hAnsi="Times New Roman" w:cs="Times New Roman"/>
          <w:sz w:val="28"/>
          <w:szCs w:val="28"/>
          <w:lang w:bidi="ar-EG"/>
        </w:rPr>
        <w:tab/>
        <w:t xml:space="preserve">Life imprisonment may be reduced to rigorous or imprisonment. </w:t>
      </w:r>
    </w:p>
    <w:p w:rsidR="002D10E0" w:rsidRPr="002D10E0" w:rsidRDefault="002D10E0" w:rsidP="002D10E0">
      <w:pPr>
        <w:ind w:left="851" w:hanging="142"/>
        <w:jc w:val="both"/>
        <w:rPr>
          <w:rFonts w:ascii="Times New Roman" w:hAnsi="Times New Roman" w:cs="Times New Roman"/>
          <w:sz w:val="28"/>
          <w:szCs w:val="28"/>
          <w:lang w:bidi="ar-EG"/>
        </w:rPr>
      </w:pPr>
      <w:r w:rsidRPr="002D10E0">
        <w:rPr>
          <w:rFonts w:ascii="Times New Roman" w:hAnsi="Times New Roman" w:cs="Times New Roman"/>
          <w:sz w:val="28"/>
          <w:szCs w:val="28"/>
          <w:lang w:bidi="ar-EG"/>
        </w:rPr>
        <w:t>•</w:t>
      </w:r>
      <w:r w:rsidRPr="002D10E0">
        <w:rPr>
          <w:rFonts w:ascii="Times New Roman" w:hAnsi="Times New Roman" w:cs="Times New Roman"/>
          <w:sz w:val="28"/>
          <w:szCs w:val="28"/>
          <w:lang w:bidi="ar-EG"/>
        </w:rPr>
        <w:tab/>
        <w:t>Rigorous imprisonment may be reduced to imprisonment or incarceration for no less than six months.</w:t>
      </w:r>
    </w:p>
    <w:p w:rsidR="00DC57A8" w:rsidRDefault="002D10E0" w:rsidP="002D10E0">
      <w:pPr>
        <w:ind w:left="851" w:hanging="142"/>
        <w:jc w:val="both"/>
        <w:rPr>
          <w:rFonts w:ascii="Times New Roman" w:hAnsi="Times New Roman" w:cs="Times New Roman"/>
          <w:sz w:val="28"/>
          <w:szCs w:val="28"/>
          <w:lang w:bidi="ar-EG"/>
        </w:rPr>
      </w:pPr>
      <w:r w:rsidRPr="002D10E0">
        <w:rPr>
          <w:rFonts w:ascii="Times New Roman" w:hAnsi="Times New Roman" w:cs="Times New Roman"/>
          <w:sz w:val="28"/>
          <w:szCs w:val="28"/>
          <w:lang w:bidi="ar-EG"/>
        </w:rPr>
        <w:t>•</w:t>
      </w:r>
      <w:r w:rsidRPr="002D10E0">
        <w:rPr>
          <w:rFonts w:ascii="Times New Roman" w:hAnsi="Times New Roman" w:cs="Times New Roman"/>
          <w:sz w:val="28"/>
          <w:szCs w:val="28"/>
          <w:lang w:bidi="ar-EG"/>
        </w:rPr>
        <w:tab/>
        <w:t>Imprisonment may be reduced to incarceration for no less than three months.</w:t>
      </w:r>
      <w:r>
        <w:rPr>
          <w:rFonts w:ascii="Times New Roman" w:hAnsi="Times New Roman" w:cs="Times New Roman"/>
          <w:sz w:val="28"/>
          <w:szCs w:val="28"/>
          <w:lang w:bidi="ar-EG"/>
        </w:rPr>
        <w:t>"</w:t>
      </w:r>
    </w:p>
    <w:p w:rsidR="002D10E0" w:rsidRDefault="002D10E0" w:rsidP="002D10E0">
      <w:pPr>
        <w:jc w:val="both"/>
        <w:rPr>
          <w:rFonts w:ascii="Times New Roman" w:hAnsi="Times New Roman" w:cs="Times New Roman"/>
          <w:sz w:val="28"/>
          <w:szCs w:val="28"/>
          <w:lang w:bidi="ar-EG"/>
        </w:rPr>
      </w:pPr>
      <w:r>
        <w:rPr>
          <w:rFonts w:ascii="Times New Roman" w:hAnsi="Times New Roman" w:cs="Times New Roman"/>
          <w:b/>
          <w:bCs/>
          <w:sz w:val="28"/>
          <w:szCs w:val="28"/>
          <w:lang w:bidi="ar-EG"/>
        </w:rPr>
        <w:t xml:space="preserve">Issues involved: </w:t>
      </w:r>
      <w:r w:rsidRPr="002D10E0">
        <w:rPr>
          <w:rFonts w:ascii="Times New Roman" w:hAnsi="Times New Roman" w:cs="Times New Roman"/>
          <w:sz w:val="28"/>
          <w:szCs w:val="28"/>
          <w:lang w:bidi="ar-EG"/>
        </w:rPr>
        <w:t>The article is frequently used in cases of rape and indecent assault against women, resulting in many unfairly reduced sentences.</w:t>
      </w:r>
    </w:p>
    <w:p w:rsidR="002D10E0" w:rsidRDefault="00DC57A8" w:rsidP="002D10E0">
      <w:pPr>
        <w:jc w:val="both"/>
        <w:rPr>
          <w:rFonts w:ascii="Times New Roman" w:hAnsi="Times New Roman" w:cs="Times New Roman"/>
          <w:sz w:val="28"/>
          <w:szCs w:val="28"/>
          <w:lang w:bidi="ar-EG"/>
        </w:rPr>
      </w:pPr>
      <w:r>
        <w:rPr>
          <w:rFonts w:ascii="Times New Roman" w:hAnsi="Times New Roman" w:cs="Times New Roman"/>
          <w:sz w:val="28"/>
          <w:szCs w:val="28"/>
          <w:lang w:bidi="ar-EG"/>
        </w:rPr>
        <w:t>2-</w:t>
      </w:r>
      <w:r w:rsidRPr="00DC57A8">
        <w:rPr>
          <w:rFonts w:ascii="Times New Roman" w:hAnsi="Times New Roman" w:cs="Times New Roman"/>
          <w:sz w:val="28"/>
          <w:szCs w:val="28"/>
          <w:lang w:bidi="ar-EG"/>
        </w:rPr>
        <w:t xml:space="preserve">Article </w:t>
      </w:r>
      <w:r w:rsidR="002D10E0">
        <w:rPr>
          <w:rFonts w:ascii="Times New Roman" w:hAnsi="Times New Roman" w:cs="Times New Roman"/>
          <w:sz w:val="28"/>
          <w:szCs w:val="28"/>
          <w:lang w:bidi="ar-EG"/>
        </w:rPr>
        <w:t>(</w:t>
      </w:r>
      <w:r w:rsidRPr="00DC57A8">
        <w:rPr>
          <w:rFonts w:ascii="Times New Roman" w:hAnsi="Times New Roman" w:cs="Times New Roman"/>
          <w:sz w:val="28"/>
          <w:szCs w:val="28"/>
          <w:lang w:bidi="ar-EG"/>
        </w:rPr>
        <w:t>60</w:t>
      </w:r>
      <w:r w:rsidR="002D10E0">
        <w:rPr>
          <w:rFonts w:ascii="Times New Roman" w:hAnsi="Times New Roman" w:cs="Times New Roman"/>
          <w:sz w:val="28"/>
          <w:szCs w:val="28"/>
          <w:lang w:bidi="ar-EG"/>
        </w:rPr>
        <w:t>) of the Egyptian Penal code states that</w:t>
      </w:r>
      <w:r w:rsidRPr="00DC57A8">
        <w:rPr>
          <w:rFonts w:ascii="Times New Roman" w:hAnsi="Times New Roman" w:cs="Times New Roman"/>
          <w:sz w:val="28"/>
          <w:szCs w:val="28"/>
          <w:lang w:bidi="ar-EG"/>
        </w:rPr>
        <w:t xml:space="preserve">: </w:t>
      </w:r>
      <w:r w:rsidR="002D10E0">
        <w:rPr>
          <w:rFonts w:ascii="Times New Roman" w:hAnsi="Times New Roman" w:cs="Times New Roman"/>
          <w:sz w:val="28"/>
          <w:szCs w:val="28"/>
          <w:lang w:bidi="ar-EG"/>
        </w:rPr>
        <w:t>"</w:t>
      </w:r>
      <w:r w:rsidR="002D10E0" w:rsidRPr="002D10E0">
        <w:rPr>
          <w:rFonts w:ascii="Times New Roman" w:hAnsi="Times New Roman" w:cs="Times New Roman"/>
          <w:sz w:val="28"/>
          <w:szCs w:val="28"/>
          <w:lang w:bidi="ar-EG"/>
        </w:rPr>
        <w:t xml:space="preserve">The provisions of the Penal Code shall not apply to any deed committed in good faith, pursuant to a right determined by virtue of the </w:t>
      </w:r>
      <w:proofErr w:type="spellStart"/>
      <w:r w:rsidR="00582DC7">
        <w:rPr>
          <w:rFonts w:ascii="Times New Roman" w:hAnsi="Times New Roman" w:cs="Times New Roman"/>
          <w:sz w:val="28"/>
          <w:szCs w:val="28"/>
          <w:lang w:bidi="ar-EG"/>
        </w:rPr>
        <w:t>Shari’a</w:t>
      </w:r>
      <w:proofErr w:type="spellEnd"/>
      <w:r w:rsidR="002D10E0" w:rsidRPr="002D10E0">
        <w:rPr>
          <w:rFonts w:ascii="Times New Roman" w:hAnsi="Times New Roman" w:cs="Times New Roman"/>
          <w:sz w:val="28"/>
          <w:szCs w:val="28"/>
          <w:lang w:bidi="ar-EG"/>
        </w:rPr>
        <w:t>.</w:t>
      </w:r>
      <w:r w:rsidR="002D10E0">
        <w:rPr>
          <w:rFonts w:ascii="Times New Roman" w:hAnsi="Times New Roman" w:cs="Times New Roman"/>
          <w:sz w:val="28"/>
          <w:szCs w:val="28"/>
          <w:lang w:bidi="ar-EG"/>
        </w:rPr>
        <w:t xml:space="preserve">". </w:t>
      </w:r>
    </w:p>
    <w:p w:rsidR="002D10E0" w:rsidRPr="002D10E0" w:rsidRDefault="002D10E0" w:rsidP="002D10E0">
      <w:pPr>
        <w:rPr>
          <w:rFonts w:ascii="Times New Roman" w:hAnsi="Times New Roman" w:cs="Times New Roman"/>
          <w:b/>
          <w:bCs/>
          <w:sz w:val="28"/>
          <w:szCs w:val="28"/>
          <w:lang w:bidi="ar-EG"/>
        </w:rPr>
      </w:pPr>
      <w:r w:rsidRPr="002D10E0">
        <w:rPr>
          <w:rFonts w:ascii="Times New Roman" w:hAnsi="Times New Roman" w:cs="Times New Roman"/>
          <w:b/>
          <w:bCs/>
          <w:sz w:val="28"/>
          <w:szCs w:val="28"/>
          <w:lang w:bidi="ar-EG"/>
        </w:rPr>
        <w:lastRenderedPageBreak/>
        <w:t>Issues Involved:</w:t>
      </w:r>
    </w:p>
    <w:p w:rsidR="002D10E0" w:rsidRDefault="002D10E0" w:rsidP="002D10E0">
      <w:pPr>
        <w:jc w:val="both"/>
        <w:rPr>
          <w:rFonts w:ascii="Times New Roman" w:hAnsi="Times New Roman" w:cs="Times New Roman"/>
          <w:sz w:val="28"/>
          <w:szCs w:val="28"/>
          <w:lang w:bidi="ar-EG"/>
        </w:rPr>
      </w:pPr>
      <w:r w:rsidRPr="002D10E0">
        <w:rPr>
          <w:rFonts w:ascii="Times New Roman" w:hAnsi="Times New Roman" w:cs="Times New Roman"/>
          <w:sz w:val="28"/>
          <w:szCs w:val="28"/>
          <w:lang w:bidi="ar-EG"/>
        </w:rPr>
        <w:t>The article is widely used in Wife-Battering cases, helping many husbands escape punishment.</w:t>
      </w:r>
    </w:p>
    <w:p w:rsidR="00B701C1" w:rsidRDefault="003608F5" w:rsidP="002D10E0">
      <w:pPr>
        <w:jc w:val="both"/>
        <w:rPr>
          <w:rFonts w:ascii="Times New Roman" w:hAnsi="Times New Roman" w:cs="Times New Roman"/>
          <w:sz w:val="28"/>
          <w:szCs w:val="28"/>
          <w:lang w:bidi="ar-EG"/>
        </w:rPr>
      </w:pPr>
      <w:r>
        <w:rPr>
          <w:rFonts w:ascii="Times New Roman" w:hAnsi="Times New Roman" w:cs="Times New Roman"/>
          <w:sz w:val="28"/>
          <w:szCs w:val="28"/>
          <w:lang w:bidi="ar-EG"/>
        </w:rPr>
        <w:t>3-</w:t>
      </w:r>
      <w:r w:rsidR="00B701C1">
        <w:rPr>
          <w:rFonts w:ascii="Times New Roman" w:hAnsi="Times New Roman" w:cs="Times New Roman"/>
          <w:sz w:val="28"/>
          <w:szCs w:val="28"/>
          <w:lang w:bidi="ar-EG"/>
        </w:rPr>
        <w:t xml:space="preserve"> </w:t>
      </w:r>
      <w:r>
        <w:rPr>
          <w:rFonts w:ascii="Times New Roman" w:hAnsi="Times New Roman" w:cs="Times New Roman"/>
          <w:sz w:val="28"/>
          <w:szCs w:val="28"/>
          <w:lang w:bidi="ar-EG"/>
        </w:rPr>
        <w:t xml:space="preserve">Articles </w:t>
      </w:r>
      <w:r w:rsidR="002D10E0">
        <w:rPr>
          <w:rFonts w:ascii="Times New Roman" w:hAnsi="Times New Roman" w:cs="Times New Roman"/>
          <w:sz w:val="28"/>
          <w:szCs w:val="28"/>
          <w:lang w:bidi="ar-EG"/>
        </w:rPr>
        <w:t>on</w:t>
      </w:r>
      <w:r>
        <w:rPr>
          <w:rFonts w:ascii="Times New Roman" w:hAnsi="Times New Roman" w:cs="Times New Roman"/>
          <w:sz w:val="28"/>
          <w:szCs w:val="28"/>
          <w:lang w:bidi="ar-EG"/>
        </w:rPr>
        <w:t xml:space="preserve"> Adultery</w:t>
      </w:r>
      <w:r w:rsidR="002D10E0">
        <w:rPr>
          <w:rFonts w:ascii="Times New Roman" w:hAnsi="Times New Roman" w:cs="Times New Roman"/>
          <w:sz w:val="28"/>
          <w:szCs w:val="28"/>
          <w:lang w:bidi="ar-EG"/>
        </w:rPr>
        <w:t xml:space="preserve"> in the Penal Code </w:t>
      </w:r>
      <w:r w:rsidR="00B701C1">
        <w:rPr>
          <w:rFonts w:ascii="Times New Roman" w:hAnsi="Times New Roman" w:cs="Times New Roman"/>
          <w:sz w:val="28"/>
          <w:szCs w:val="28"/>
          <w:lang w:bidi="ar-EG"/>
        </w:rPr>
        <w:t>(237, 274, 277)</w:t>
      </w:r>
      <w:r>
        <w:rPr>
          <w:rFonts w:ascii="Times New Roman" w:hAnsi="Times New Roman" w:cs="Times New Roman"/>
          <w:sz w:val="28"/>
          <w:szCs w:val="28"/>
          <w:lang w:bidi="ar-EG"/>
        </w:rPr>
        <w:t xml:space="preserve"> </w:t>
      </w:r>
      <w:r w:rsidR="00555BEC">
        <w:rPr>
          <w:rFonts w:ascii="Times New Roman" w:hAnsi="Times New Roman" w:cs="Times New Roman"/>
          <w:sz w:val="28"/>
          <w:szCs w:val="28"/>
          <w:lang w:bidi="ar-EG"/>
        </w:rPr>
        <w:t>discriminate</w:t>
      </w:r>
      <w:r w:rsidR="002D10E0">
        <w:rPr>
          <w:rFonts w:ascii="Times New Roman" w:hAnsi="Times New Roman" w:cs="Times New Roman"/>
          <w:sz w:val="28"/>
          <w:szCs w:val="28"/>
          <w:lang w:bidi="ar-EG"/>
        </w:rPr>
        <w:t xml:space="preserve"> between Women and men with regard to</w:t>
      </w:r>
      <w:r w:rsidR="00B701C1">
        <w:rPr>
          <w:rFonts w:ascii="Times New Roman" w:hAnsi="Times New Roman" w:cs="Times New Roman"/>
          <w:sz w:val="28"/>
          <w:szCs w:val="28"/>
          <w:lang w:bidi="ar-EG"/>
        </w:rPr>
        <w:t xml:space="preserve"> penalties, even though Islamic </w:t>
      </w:r>
      <w:r w:rsidR="00582DC7">
        <w:rPr>
          <w:rFonts w:ascii="Times New Roman" w:hAnsi="Times New Roman" w:cs="Times New Roman"/>
          <w:sz w:val="28"/>
          <w:szCs w:val="28"/>
          <w:lang w:bidi="ar-EG"/>
        </w:rPr>
        <w:t>Shari’a</w:t>
      </w:r>
      <w:r>
        <w:rPr>
          <w:rFonts w:ascii="Times New Roman" w:hAnsi="Times New Roman" w:cs="Times New Roman"/>
          <w:sz w:val="28"/>
          <w:szCs w:val="28"/>
          <w:lang w:bidi="ar-EG"/>
        </w:rPr>
        <w:t xml:space="preserve"> </w:t>
      </w:r>
      <w:r w:rsidR="00B701C1">
        <w:rPr>
          <w:rFonts w:ascii="Times New Roman" w:hAnsi="Times New Roman" w:cs="Times New Roman"/>
          <w:sz w:val="28"/>
          <w:szCs w:val="28"/>
          <w:lang w:bidi="ar-EG"/>
        </w:rPr>
        <w:t xml:space="preserve">prescribes equal penalties for both sexes, and therefore, these articles are unconstitutional. </w:t>
      </w:r>
    </w:p>
    <w:p w:rsidR="00555BEC" w:rsidRDefault="00B701C1" w:rsidP="002D10E0">
      <w:pPr>
        <w:jc w:val="both"/>
        <w:rPr>
          <w:rFonts w:ascii="Times New Roman" w:hAnsi="Times New Roman" w:cs="Times New Roman"/>
          <w:sz w:val="28"/>
          <w:szCs w:val="28"/>
          <w:lang w:bidi="ar-EG"/>
        </w:rPr>
      </w:pPr>
      <w:r>
        <w:rPr>
          <w:rFonts w:ascii="Times New Roman" w:hAnsi="Times New Roman" w:cs="Times New Roman"/>
          <w:sz w:val="28"/>
          <w:szCs w:val="28"/>
          <w:lang w:bidi="ar-EG"/>
        </w:rPr>
        <w:t>W</w:t>
      </w:r>
      <w:r w:rsidR="004459B1">
        <w:rPr>
          <w:rFonts w:ascii="Times New Roman" w:hAnsi="Times New Roman" w:cs="Times New Roman"/>
          <w:sz w:val="28"/>
          <w:szCs w:val="28"/>
          <w:lang w:bidi="ar-EG"/>
        </w:rPr>
        <w:t>hen examining those articles thoroughly we find the following:</w:t>
      </w:r>
    </w:p>
    <w:p w:rsidR="009F0690" w:rsidRPr="00380E1E" w:rsidRDefault="00380E1E" w:rsidP="00380E1E">
      <w:pPr>
        <w:jc w:val="both"/>
        <w:rPr>
          <w:rFonts w:ascii="Times New Roman" w:hAnsi="Times New Roman" w:cs="Times New Roman"/>
          <w:b/>
          <w:bCs/>
          <w:sz w:val="28"/>
          <w:szCs w:val="28"/>
          <w:lang w:bidi="ar-EG"/>
        </w:rPr>
      </w:pPr>
      <w:r>
        <w:rPr>
          <w:rFonts w:ascii="Times New Roman" w:hAnsi="Times New Roman" w:cs="Times New Roman"/>
          <w:b/>
          <w:bCs/>
          <w:sz w:val="28"/>
          <w:szCs w:val="28"/>
          <w:lang w:bidi="ar-EG"/>
        </w:rPr>
        <w:t xml:space="preserve">(a) Discrimination </w:t>
      </w:r>
      <w:r w:rsidR="005F00FC">
        <w:rPr>
          <w:rFonts w:ascii="Times New Roman" w:hAnsi="Times New Roman" w:cs="Times New Roman"/>
          <w:b/>
          <w:bCs/>
          <w:sz w:val="28"/>
          <w:szCs w:val="28"/>
          <w:lang w:bidi="ar-EG"/>
        </w:rPr>
        <w:t>between Men and Women</w:t>
      </w:r>
      <w:r w:rsidR="00A22737">
        <w:rPr>
          <w:rFonts w:ascii="Times New Roman" w:hAnsi="Times New Roman" w:cs="Times New Roman"/>
          <w:b/>
          <w:bCs/>
          <w:sz w:val="28"/>
          <w:szCs w:val="28"/>
          <w:lang w:bidi="ar-EG"/>
        </w:rPr>
        <w:t xml:space="preserve"> in E</w:t>
      </w:r>
      <w:r>
        <w:rPr>
          <w:rFonts w:ascii="Times New Roman" w:hAnsi="Times New Roman" w:cs="Times New Roman"/>
          <w:b/>
          <w:bCs/>
          <w:sz w:val="28"/>
          <w:szCs w:val="28"/>
          <w:lang w:bidi="ar-EG"/>
        </w:rPr>
        <w:t>stablishing the Crime of Adultery</w:t>
      </w:r>
      <w:r w:rsidR="00A16125" w:rsidRPr="00380E1E">
        <w:rPr>
          <w:rFonts w:ascii="Times New Roman" w:hAnsi="Times New Roman" w:cs="Times New Roman"/>
          <w:b/>
          <w:bCs/>
          <w:sz w:val="28"/>
          <w:szCs w:val="28"/>
          <w:lang w:bidi="ar-EG"/>
        </w:rPr>
        <w:t>:</w:t>
      </w:r>
    </w:p>
    <w:p w:rsidR="00AA658F" w:rsidRDefault="00375CAF" w:rsidP="00AA658F">
      <w:pPr>
        <w:jc w:val="both"/>
        <w:rPr>
          <w:rFonts w:ascii="Times New Roman" w:hAnsi="Times New Roman" w:cs="Times New Roman"/>
          <w:sz w:val="28"/>
          <w:szCs w:val="28"/>
          <w:lang w:bidi="ar-EG"/>
        </w:rPr>
      </w:pPr>
      <w:r w:rsidRPr="00380E1E">
        <w:rPr>
          <w:rFonts w:ascii="Times New Roman" w:hAnsi="Times New Roman" w:cs="Times New Roman"/>
          <w:sz w:val="28"/>
          <w:szCs w:val="28"/>
          <w:lang w:bidi="ar-EG"/>
        </w:rPr>
        <w:t>A</w:t>
      </w:r>
      <w:r w:rsidR="00A16125" w:rsidRPr="00380E1E">
        <w:rPr>
          <w:rFonts w:ascii="Times New Roman" w:hAnsi="Times New Roman" w:cs="Times New Roman"/>
          <w:sz w:val="28"/>
          <w:szCs w:val="28"/>
          <w:lang w:bidi="ar-EG"/>
        </w:rPr>
        <w:t xml:space="preserve"> married woman</w:t>
      </w:r>
      <w:r w:rsidRPr="00380E1E">
        <w:rPr>
          <w:rFonts w:ascii="Times New Roman" w:hAnsi="Times New Roman" w:cs="Times New Roman"/>
          <w:sz w:val="28"/>
          <w:szCs w:val="28"/>
          <w:lang w:bidi="ar-EG"/>
        </w:rPr>
        <w:t xml:space="preserve"> </w:t>
      </w:r>
      <w:r w:rsidR="00380E1E" w:rsidRPr="00380E1E">
        <w:rPr>
          <w:rFonts w:ascii="Times New Roman" w:hAnsi="Times New Roman" w:cs="Times New Roman"/>
          <w:sz w:val="28"/>
          <w:szCs w:val="28"/>
          <w:lang w:bidi="ar-EG"/>
        </w:rPr>
        <w:t>is considered to have committed</w:t>
      </w:r>
      <w:r w:rsidR="00A16125" w:rsidRPr="00380E1E">
        <w:rPr>
          <w:rFonts w:ascii="Times New Roman" w:hAnsi="Times New Roman" w:cs="Times New Roman"/>
          <w:sz w:val="28"/>
          <w:szCs w:val="28"/>
          <w:lang w:bidi="ar-EG"/>
        </w:rPr>
        <w:t xml:space="preserve"> the crime of adultery </w:t>
      </w:r>
      <w:r w:rsidR="00380E1E">
        <w:rPr>
          <w:rFonts w:ascii="Times New Roman" w:hAnsi="Times New Roman" w:cs="Times New Roman"/>
          <w:sz w:val="28"/>
          <w:szCs w:val="28"/>
          <w:lang w:bidi="ar-EG"/>
        </w:rPr>
        <w:t>regardless of</w:t>
      </w:r>
      <w:r w:rsidR="00A16125" w:rsidRPr="00380E1E">
        <w:rPr>
          <w:rFonts w:ascii="Times New Roman" w:hAnsi="Times New Roman" w:cs="Times New Roman"/>
          <w:sz w:val="28"/>
          <w:szCs w:val="28"/>
          <w:lang w:bidi="ar-EG"/>
        </w:rPr>
        <w:t xml:space="preserve"> the loc</w:t>
      </w:r>
      <w:r w:rsidR="00380E1E">
        <w:rPr>
          <w:rFonts w:ascii="Times New Roman" w:hAnsi="Times New Roman" w:cs="Times New Roman"/>
          <w:sz w:val="28"/>
          <w:szCs w:val="28"/>
          <w:lang w:bidi="ar-EG"/>
        </w:rPr>
        <w:t>ation of the act</w:t>
      </w:r>
      <w:r w:rsidR="00A16125" w:rsidRPr="00380E1E">
        <w:rPr>
          <w:rFonts w:ascii="Times New Roman" w:hAnsi="Times New Roman" w:cs="Times New Roman"/>
          <w:sz w:val="28"/>
          <w:szCs w:val="28"/>
          <w:lang w:bidi="ar-EG"/>
        </w:rPr>
        <w:t>,</w:t>
      </w:r>
      <w:r w:rsidR="00ED33D7" w:rsidRPr="00380E1E">
        <w:rPr>
          <w:rFonts w:ascii="Times New Roman" w:hAnsi="Times New Roman" w:cs="Times New Roman"/>
          <w:sz w:val="28"/>
          <w:szCs w:val="28"/>
          <w:lang w:bidi="ar-EG"/>
        </w:rPr>
        <w:t xml:space="preserve"> i.e. whether it </w:t>
      </w:r>
      <w:r w:rsidR="00380E1E">
        <w:rPr>
          <w:rFonts w:ascii="Times New Roman" w:hAnsi="Times New Roman" w:cs="Times New Roman"/>
          <w:sz w:val="28"/>
          <w:szCs w:val="28"/>
          <w:lang w:bidi="ar-EG"/>
        </w:rPr>
        <w:t>took place at the marital home</w:t>
      </w:r>
      <w:r w:rsidR="00ED33D7" w:rsidRPr="00380E1E">
        <w:rPr>
          <w:rFonts w:ascii="Times New Roman" w:hAnsi="Times New Roman" w:cs="Times New Roman"/>
          <w:sz w:val="28"/>
          <w:szCs w:val="28"/>
          <w:lang w:bidi="ar-EG"/>
        </w:rPr>
        <w:t xml:space="preserve"> or </w:t>
      </w:r>
      <w:r w:rsidR="00380E1E">
        <w:rPr>
          <w:rFonts w:ascii="Times New Roman" w:hAnsi="Times New Roman" w:cs="Times New Roman"/>
          <w:sz w:val="28"/>
          <w:szCs w:val="28"/>
          <w:lang w:bidi="ar-EG"/>
        </w:rPr>
        <w:t xml:space="preserve">not. </w:t>
      </w:r>
      <w:r w:rsidR="00AA658F">
        <w:rPr>
          <w:rFonts w:ascii="Times New Roman" w:hAnsi="Times New Roman" w:cs="Times New Roman"/>
          <w:sz w:val="28"/>
          <w:szCs w:val="28"/>
          <w:lang w:bidi="ar-EG"/>
        </w:rPr>
        <w:t xml:space="preserve">We have nothing to object to in this regard, since the duty to maintain </w:t>
      </w:r>
      <w:r w:rsidR="00AA658F" w:rsidRPr="00380E1E">
        <w:rPr>
          <w:rFonts w:ascii="Times New Roman" w:hAnsi="Times New Roman" w:cs="Times New Roman"/>
          <w:sz w:val="28"/>
          <w:szCs w:val="28"/>
          <w:lang w:bidi="ar-EG"/>
        </w:rPr>
        <w:t xml:space="preserve">the loyalty and fidelity </w:t>
      </w:r>
      <w:r w:rsidR="00AA658F">
        <w:rPr>
          <w:rFonts w:ascii="Times New Roman" w:hAnsi="Times New Roman" w:cs="Times New Roman"/>
          <w:sz w:val="28"/>
          <w:szCs w:val="28"/>
          <w:lang w:bidi="ar-EG"/>
        </w:rPr>
        <w:t xml:space="preserve">between a married couple </w:t>
      </w:r>
      <w:r w:rsidR="0042088F" w:rsidRPr="00380E1E">
        <w:rPr>
          <w:rFonts w:ascii="Times New Roman" w:hAnsi="Times New Roman" w:cs="Times New Roman"/>
          <w:sz w:val="28"/>
          <w:szCs w:val="28"/>
          <w:lang w:bidi="ar-EG"/>
        </w:rPr>
        <w:t xml:space="preserve">is not limited </w:t>
      </w:r>
      <w:r w:rsidR="00F61315" w:rsidRPr="00380E1E">
        <w:rPr>
          <w:rFonts w:ascii="Times New Roman" w:hAnsi="Times New Roman" w:cs="Times New Roman"/>
          <w:sz w:val="28"/>
          <w:szCs w:val="28"/>
          <w:lang w:bidi="ar-EG"/>
        </w:rPr>
        <w:t>t</w:t>
      </w:r>
      <w:r w:rsidR="00AA658F">
        <w:rPr>
          <w:rFonts w:ascii="Times New Roman" w:hAnsi="Times New Roman" w:cs="Times New Roman"/>
          <w:sz w:val="28"/>
          <w:szCs w:val="28"/>
          <w:lang w:bidi="ar-EG"/>
        </w:rPr>
        <w:t>o</w:t>
      </w:r>
      <w:r w:rsidR="00F61315" w:rsidRPr="00380E1E">
        <w:rPr>
          <w:rFonts w:ascii="Times New Roman" w:hAnsi="Times New Roman" w:cs="Times New Roman"/>
          <w:sz w:val="28"/>
          <w:szCs w:val="28"/>
          <w:lang w:bidi="ar-EG"/>
        </w:rPr>
        <w:t xml:space="preserve"> a specific location</w:t>
      </w:r>
      <w:r w:rsidR="00AA658F">
        <w:rPr>
          <w:rFonts w:ascii="Times New Roman" w:hAnsi="Times New Roman" w:cs="Times New Roman"/>
          <w:sz w:val="28"/>
          <w:szCs w:val="28"/>
          <w:lang w:bidi="ar-EG"/>
        </w:rPr>
        <w:t xml:space="preserve"> or time, so long as wedlock is in existence. The law, however, does not recognize this fact in relation to the husband, since the husband is not considered to have committed crime of adultery unless the act was committed in the marital home. Elsewhere, the crime of adultery is not established, unless adultery is committed with a married Woman, in which case he is considered an accomplice rather than a principal in the crime. If, however, he commits adultery outside of the marital home with an unmarried Woman, the crime of adultery </w:t>
      </w:r>
      <w:proofErr w:type="spellStart"/>
      <w:r w:rsidR="00582DC7">
        <w:rPr>
          <w:rFonts w:ascii="Times New Roman" w:hAnsi="Times New Roman" w:cs="Times New Roman"/>
          <w:sz w:val="28"/>
          <w:szCs w:val="28"/>
          <w:lang w:bidi="ar-EG"/>
        </w:rPr>
        <w:t>can not</w:t>
      </w:r>
      <w:proofErr w:type="spellEnd"/>
      <w:r w:rsidR="00AA658F">
        <w:rPr>
          <w:rFonts w:ascii="Times New Roman" w:hAnsi="Times New Roman" w:cs="Times New Roman"/>
          <w:sz w:val="28"/>
          <w:szCs w:val="28"/>
          <w:lang w:bidi="ar-EG"/>
        </w:rPr>
        <w:t xml:space="preserve"> be established against either of them under the applicable provisions of Penal Code.  </w:t>
      </w:r>
    </w:p>
    <w:p w:rsidR="009F0690" w:rsidRDefault="00AA658F" w:rsidP="00AA658F">
      <w:pPr>
        <w:jc w:val="both"/>
        <w:rPr>
          <w:rFonts w:ascii="Times New Roman" w:hAnsi="Times New Roman" w:cs="Times New Roman"/>
          <w:b/>
          <w:bCs/>
          <w:sz w:val="28"/>
          <w:szCs w:val="28"/>
          <w:lang w:bidi="ar-EG"/>
        </w:rPr>
      </w:pPr>
      <w:r>
        <w:rPr>
          <w:rFonts w:ascii="Times New Roman" w:hAnsi="Times New Roman" w:cs="Times New Roman"/>
          <w:b/>
          <w:bCs/>
          <w:sz w:val="28"/>
          <w:szCs w:val="28"/>
          <w:lang w:bidi="ar-EG"/>
        </w:rPr>
        <w:t xml:space="preserve">(b) Discrimination </w:t>
      </w:r>
      <w:r w:rsidR="005F00FC">
        <w:rPr>
          <w:rFonts w:ascii="Times New Roman" w:hAnsi="Times New Roman" w:cs="Times New Roman"/>
          <w:b/>
          <w:bCs/>
          <w:sz w:val="28"/>
          <w:szCs w:val="28"/>
          <w:lang w:bidi="ar-EG"/>
        </w:rPr>
        <w:t>between Men and Women</w:t>
      </w:r>
      <w:r>
        <w:rPr>
          <w:rFonts w:ascii="Times New Roman" w:hAnsi="Times New Roman" w:cs="Times New Roman"/>
          <w:b/>
          <w:bCs/>
          <w:sz w:val="28"/>
          <w:szCs w:val="28"/>
          <w:lang w:bidi="ar-EG"/>
        </w:rPr>
        <w:t xml:space="preserve"> in Punishing Adultery</w:t>
      </w:r>
      <w:r w:rsidR="009F0690" w:rsidRPr="00AA658F">
        <w:rPr>
          <w:rFonts w:ascii="Times New Roman" w:hAnsi="Times New Roman" w:cs="Times New Roman"/>
          <w:b/>
          <w:bCs/>
          <w:sz w:val="28"/>
          <w:szCs w:val="28"/>
          <w:lang w:bidi="ar-EG"/>
        </w:rPr>
        <w:t>:</w:t>
      </w:r>
    </w:p>
    <w:p w:rsidR="00AA658F" w:rsidRDefault="004628EE" w:rsidP="00CC14D4">
      <w:pPr>
        <w:jc w:val="both"/>
        <w:rPr>
          <w:rFonts w:ascii="Times New Roman" w:hAnsi="Times New Roman" w:cs="Times New Roman"/>
          <w:sz w:val="28"/>
          <w:szCs w:val="28"/>
          <w:lang w:bidi="ar-EG"/>
        </w:rPr>
      </w:pPr>
      <w:r w:rsidRPr="00AA658F">
        <w:rPr>
          <w:rFonts w:ascii="Times New Roman" w:hAnsi="Times New Roman" w:cs="Times New Roman"/>
          <w:sz w:val="28"/>
          <w:szCs w:val="28"/>
          <w:lang w:bidi="ar-EG"/>
        </w:rPr>
        <w:t xml:space="preserve">It </w:t>
      </w:r>
      <w:r w:rsidR="00AA658F">
        <w:rPr>
          <w:rFonts w:ascii="Times New Roman" w:hAnsi="Times New Roman" w:cs="Times New Roman"/>
          <w:sz w:val="28"/>
          <w:szCs w:val="28"/>
          <w:lang w:bidi="ar-EG"/>
        </w:rPr>
        <w:t>was</w:t>
      </w:r>
      <w:r w:rsidRPr="00AA658F">
        <w:rPr>
          <w:rFonts w:ascii="Times New Roman" w:hAnsi="Times New Roman" w:cs="Times New Roman"/>
          <w:sz w:val="28"/>
          <w:szCs w:val="28"/>
          <w:lang w:bidi="ar-EG"/>
        </w:rPr>
        <w:t xml:space="preserve"> not enough for the law to favor men </w:t>
      </w:r>
      <w:r w:rsidR="00AA658F">
        <w:rPr>
          <w:rFonts w:ascii="Times New Roman" w:hAnsi="Times New Roman" w:cs="Times New Roman"/>
          <w:sz w:val="28"/>
          <w:szCs w:val="28"/>
          <w:lang w:bidi="ar-EG"/>
        </w:rPr>
        <w:t>with regard to establishing the crime</w:t>
      </w:r>
      <w:r w:rsidRPr="00AA658F">
        <w:rPr>
          <w:rFonts w:ascii="Times New Roman" w:hAnsi="Times New Roman" w:cs="Times New Roman"/>
          <w:sz w:val="28"/>
          <w:szCs w:val="28"/>
          <w:lang w:bidi="ar-EG"/>
        </w:rPr>
        <w:t xml:space="preserve">, </w:t>
      </w:r>
      <w:r w:rsidR="0075071D" w:rsidRPr="00AA658F">
        <w:rPr>
          <w:rFonts w:ascii="Times New Roman" w:hAnsi="Times New Roman" w:cs="Times New Roman"/>
          <w:sz w:val="28"/>
          <w:szCs w:val="28"/>
          <w:lang w:bidi="ar-EG"/>
        </w:rPr>
        <w:t>but it insists on applyin</w:t>
      </w:r>
      <w:r w:rsidR="00AA658F">
        <w:rPr>
          <w:rFonts w:ascii="Times New Roman" w:hAnsi="Times New Roman" w:cs="Times New Roman"/>
          <w:sz w:val="28"/>
          <w:szCs w:val="28"/>
          <w:lang w:bidi="ar-EG"/>
        </w:rPr>
        <w:t>g its discriminative approach</w:t>
      </w:r>
      <w:r w:rsidR="0075071D" w:rsidRPr="00AA658F">
        <w:rPr>
          <w:rFonts w:ascii="Times New Roman" w:hAnsi="Times New Roman" w:cs="Times New Roman"/>
          <w:sz w:val="28"/>
          <w:szCs w:val="28"/>
          <w:lang w:bidi="ar-EG"/>
        </w:rPr>
        <w:t xml:space="preserve"> </w:t>
      </w:r>
      <w:r w:rsidR="00AA658F">
        <w:rPr>
          <w:rFonts w:ascii="Times New Roman" w:hAnsi="Times New Roman" w:cs="Times New Roman"/>
          <w:sz w:val="28"/>
          <w:szCs w:val="28"/>
          <w:lang w:bidi="ar-EG"/>
        </w:rPr>
        <w:t>against</w:t>
      </w:r>
      <w:r w:rsidR="0075071D" w:rsidRPr="00AA658F">
        <w:rPr>
          <w:rFonts w:ascii="Times New Roman" w:hAnsi="Times New Roman" w:cs="Times New Roman"/>
          <w:sz w:val="28"/>
          <w:szCs w:val="28"/>
          <w:lang w:bidi="ar-EG"/>
        </w:rPr>
        <w:t xml:space="preserve"> women even </w:t>
      </w:r>
      <w:r w:rsidR="00AA658F">
        <w:rPr>
          <w:rFonts w:ascii="Times New Roman" w:hAnsi="Times New Roman" w:cs="Times New Roman"/>
          <w:sz w:val="28"/>
          <w:szCs w:val="28"/>
          <w:lang w:bidi="ar-EG"/>
        </w:rPr>
        <w:t xml:space="preserve">in prescribing </w:t>
      </w:r>
      <w:r w:rsidR="00CC14D4">
        <w:rPr>
          <w:rFonts w:ascii="Times New Roman" w:hAnsi="Times New Roman" w:cs="Times New Roman"/>
          <w:sz w:val="28"/>
          <w:szCs w:val="28"/>
          <w:lang w:bidi="ar-EG"/>
        </w:rPr>
        <w:t xml:space="preserve">the </w:t>
      </w:r>
      <w:r w:rsidR="00AA658F">
        <w:rPr>
          <w:rFonts w:ascii="Times New Roman" w:hAnsi="Times New Roman" w:cs="Times New Roman"/>
          <w:sz w:val="28"/>
          <w:szCs w:val="28"/>
          <w:lang w:bidi="ar-EG"/>
        </w:rPr>
        <w:t xml:space="preserve">penalty for adultery, </w:t>
      </w:r>
      <w:r w:rsidR="00CC14D4">
        <w:rPr>
          <w:rFonts w:ascii="Times New Roman" w:hAnsi="Times New Roman" w:cs="Times New Roman"/>
          <w:sz w:val="28"/>
          <w:szCs w:val="28"/>
          <w:lang w:bidi="ar-EG"/>
        </w:rPr>
        <w:t xml:space="preserve">providing for a lighter penalty for men. </w:t>
      </w:r>
    </w:p>
    <w:p w:rsidR="00CC14D4" w:rsidRDefault="00CC14D4" w:rsidP="00CC14D4">
      <w:pPr>
        <w:pStyle w:val="ListParagraph"/>
        <w:numPr>
          <w:ilvl w:val="0"/>
          <w:numId w:val="1"/>
        </w:numPr>
        <w:jc w:val="both"/>
        <w:rPr>
          <w:rFonts w:ascii="Times New Roman" w:hAnsi="Times New Roman" w:cs="Times New Roman"/>
          <w:sz w:val="28"/>
          <w:szCs w:val="28"/>
          <w:lang w:bidi="ar-EG"/>
        </w:rPr>
      </w:pPr>
      <w:r>
        <w:rPr>
          <w:rFonts w:ascii="Times New Roman" w:hAnsi="Times New Roman" w:cs="Times New Roman"/>
          <w:sz w:val="28"/>
          <w:szCs w:val="28"/>
          <w:lang w:bidi="ar-EG"/>
        </w:rPr>
        <w:t>A wife proven guilty of adultery, inside or outside her marital home, shall be punishable by incarceration for a period of no more than two years (Article 274P).</w:t>
      </w:r>
    </w:p>
    <w:p w:rsidR="00CC14D4" w:rsidRPr="00CC14D4" w:rsidRDefault="00CC14D4" w:rsidP="00CC14D4">
      <w:pPr>
        <w:pStyle w:val="ListParagraph"/>
        <w:numPr>
          <w:ilvl w:val="0"/>
          <w:numId w:val="1"/>
        </w:numPr>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A husband proven guilty of adultery, inside his the marital home, shall be punishable by incarceration for a period of no more than six months (Article 277P).</w:t>
      </w:r>
    </w:p>
    <w:p w:rsidR="00A8321E" w:rsidRDefault="00D20255" w:rsidP="00CC14D4">
      <w:pPr>
        <w:jc w:val="both"/>
        <w:rPr>
          <w:rFonts w:ascii="Times New Roman" w:hAnsi="Times New Roman" w:cs="Times New Roman"/>
          <w:sz w:val="28"/>
          <w:szCs w:val="28"/>
          <w:lang w:bidi="ar-EG"/>
        </w:rPr>
      </w:pPr>
      <w:r w:rsidRPr="00CC14D4">
        <w:rPr>
          <w:rFonts w:ascii="Times New Roman" w:hAnsi="Times New Roman" w:cs="Times New Roman"/>
          <w:sz w:val="28"/>
          <w:szCs w:val="28"/>
          <w:lang w:bidi="ar-EG"/>
        </w:rPr>
        <w:t xml:space="preserve">This sort of discrimination is </w:t>
      </w:r>
      <w:r w:rsidR="00CC14D4">
        <w:rPr>
          <w:rFonts w:ascii="Times New Roman" w:hAnsi="Times New Roman" w:cs="Times New Roman"/>
          <w:sz w:val="28"/>
          <w:szCs w:val="28"/>
          <w:lang w:bidi="ar-EG"/>
        </w:rPr>
        <w:t>despicable</w:t>
      </w:r>
      <w:r w:rsidRPr="00CC14D4">
        <w:rPr>
          <w:rFonts w:ascii="Times New Roman" w:hAnsi="Times New Roman" w:cs="Times New Roman"/>
          <w:sz w:val="28"/>
          <w:szCs w:val="28"/>
          <w:lang w:bidi="ar-EG"/>
        </w:rPr>
        <w:t xml:space="preserve">, </w:t>
      </w:r>
      <w:r w:rsidR="00CC14D4">
        <w:rPr>
          <w:rFonts w:ascii="Times New Roman" w:hAnsi="Times New Roman" w:cs="Times New Roman"/>
          <w:sz w:val="28"/>
          <w:szCs w:val="28"/>
          <w:lang w:bidi="ar-EG"/>
        </w:rPr>
        <w:t xml:space="preserve">as it encourages men to commit adultery twice: first by permitting the act if committed outside the marital home, and second by prescribing a lighter penalty, even if the act is committed inside the marital home. </w:t>
      </w:r>
    </w:p>
    <w:p w:rsidR="00CC14D4" w:rsidRDefault="00CC14D4" w:rsidP="00CC14D4">
      <w:pPr>
        <w:jc w:val="both"/>
        <w:rPr>
          <w:rFonts w:ascii="Times New Roman" w:hAnsi="Times New Roman" w:cs="Times New Roman"/>
          <w:b/>
          <w:bCs/>
          <w:sz w:val="28"/>
          <w:szCs w:val="28"/>
          <w:lang w:bidi="ar-EG"/>
        </w:rPr>
      </w:pPr>
      <w:r>
        <w:rPr>
          <w:rFonts w:ascii="Times New Roman" w:hAnsi="Times New Roman" w:cs="Times New Roman"/>
          <w:b/>
          <w:bCs/>
          <w:sz w:val="28"/>
          <w:szCs w:val="28"/>
          <w:lang w:bidi="ar-EG"/>
        </w:rPr>
        <w:t xml:space="preserve">C- Discrimination </w:t>
      </w:r>
      <w:r w:rsidR="005F00FC">
        <w:rPr>
          <w:rFonts w:ascii="Times New Roman" w:hAnsi="Times New Roman" w:cs="Times New Roman"/>
          <w:b/>
          <w:bCs/>
          <w:sz w:val="28"/>
          <w:szCs w:val="28"/>
          <w:lang w:bidi="ar-EG"/>
        </w:rPr>
        <w:t>between Men and Women</w:t>
      </w:r>
      <w:r>
        <w:rPr>
          <w:rFonts w:ascii="Times New Roman" w:hAnsi="Times New Roman" w:cs="Times New Roman"/>
          <w:b/>
          <w:bCs/>
          <w:sz w:val="28"/>
          <w:szCs w:val="28"/>
          <w:lang w:bidi="ar-EG"/>
        </w:rPr>
        <w:t xml:space="preserve"> in Excuse for Crimes Committed upon Catching the Spouse in the Act of Adultery</w:t>
      </w:r>
    </w:p>
    <w:p w:rsidR="00A8321E" w:rsidRPr="00CC14D4" w:rsidRDefault="00943073" w:rsidP="00D528DB">
      <w:pPr>
        <w:jc w:val="both"/>
        <w:rPr>
          <w:rFonts w:ascii="Times New Roman" w:hAnsi="Times New Roman" w:cs="Times New Roman"/>
          <w:sz w:val="28"/>
          <w:szCs w:val="28"/>
          <w:lang w:bidi="ar-EG"/>
        </w:rPr>
      </w:pPr>
      <w:r w:rsidRPr="00CC14D4">
        <w:rPr>
          <w:rFonts w:ascii="Times New Roman" w:hAnsi="Times New Roman" w:cs="Times New Roman"/>
          <w:sz w:val="28"/>
          <w:szCs w:val="28"/>
          <w:lang w:bidi="ar-EG"/>
        </w:rPr>
        <w:t xml:space="preserve">Article 237 of the </w:t>
      </w:r>
      <w:r w:rsidR="002D10E0" w:rsidRPr="00CC14D4">
        <w:rPr>
          <w:rFonts w:ascii="Times New Roman" w:hAnsi="Times New Roman" w:cs="Times New Roman"/>
          <w:sz w:val="28"/>
          <w:szCs w:val="28"/>
          <w:lang w:bidi="ar-EG"/>
        </w:rPr>
        <w:t>Penal Code</w:t>
      </w:r>
      <w:r w:rsidR="00CC14D4">
        <w:rPr>
          <w:rFonts w:ascii="Times New Roman" w:hAnsi="Times New Roman" w:cs="Times New Roman"/>
          <w:sz w:val="28"/>
          <w:szCs w:val="28"/>
          <w:lang w:bidi="ar-EG"/>
        </w:rPr>
        <w:t xml:space="preserve"> provides for a mitigated</w:t>
      </w:r>
      <w:r w:rsidRPr="00CC14D4">
        <w:rPr>
          <w:rFonts w:ascii="Times New Roman" w:hAnsi="Times New Roman" w:cs="Times New Roman"/>
          <w:sz w:val="28"/>
          <w:szCs w:val="28"/>
          <w:lang w:bidi="ar-EG"/>
        </w:rPr>
        <w:t xml:space="preserve"> </w:t>
      </w:r>
      <w:r w:rsidR="00CC14D4">
        <w:rPr>
          <w:rFonts w:ascii="Times New Roman" w:hAnsi="Times New Roman" w:cs="Times New Roman"/>
          <w:sz w:val="28"/>
          <w:szCs w:val="28"/>
          <w:lang w:bidi="ar-EG"/>
        </w:rPr>
        <w:t>penalty for a</w:t>
      </w:r>
      <w:r w:rsidRPr="00CC14D4">
        <w:rPr>
          <w:rFonts w:ascii="Times New Roman" w:hAnsi="Times New Roman" w:cs="Times New Roman"/>
          <w:sz w:val="28"/>
          <w:szCs w:val="28"/>
          <w:lang w:bidi="ar-EG"/>
        </w:rPr>
        <w:t xml:space="preserve"> husband</w:t>
      </w:r>
      <w:r w:rsidR="00E13705" w:rsidRPr="00CC14D4">
        <w:rPr>
          <w:rFonts w:ascii="Times New Roman" w:hAnsi="Times New Roman" w:cs="Times New Roman"/>
          <w:sz w:val="28"/>
          <w:szCs w:val="28"/>
          <w:lang w:bidi="ar-EG"/>
        </w:rPr>
        <w:t xml:space="preserve"> </w:t>
      </w:r>
      <w:r w:rsidR="00CC14D4">
        <w:rPr>
          <w:rFonts w:ascii="Times New Roman" w:hAnsi="Times New Roman" w:cs="Times New Roman"/>
          <w:sz w:val="28"/>
          <w:szCs w:val="28"/>
          <w:lang w:bidi="ar-EG"/>
        </w:rPr>
        <w:t xml:space="preserve">who </w:t>
      </w:r>
      <w:r w:rsidRPr="00CC14D4">
        <w:rPr>
          <w:rFonts w:ascii="Times New Roman" w:hAnsi="Times New Roman" w:cs="Times New Roman"/>
          <w:sz w:val="28"/>
          <w:szCs w:val="28"/>
          <w:lang w:bidi="ar-EG"/>
        </w:rPr>
        <w:t xml:space="preserve">catches his wife in the act of adultery and immediately </w:t>
      </w:r>
      <w:r w:rsidR="00AE3C9D" w:rsidRPr="00CC14D4">
        <w:rPr>
          <w:rFonts w:ascii="Times New Roman" w:hAnsi="Times New Roman" w:cs="Times New Roman"/>
          <w:sz w:val="28"/>
          <w:szCs w:val="28"/>
          <w:lang w:bidi="ar-EG"/>
        </w:rPr>
        <w:t>kills</w:t>
      </w:r>
      <w:r w:rsidR="00CC14D4">
        <w:rPr>
          <w:rFonts w:ascii="Times New Roman" w:hAnsi="Times New Roman" w:cs="Times New Roman"/>
          <w:sz w:val="28"/>
          <w:szCs w:val="28"/>
          <w:lang w:bidi="ar-EG"/>
        </w:rPr>
        <w:t xml:space="preserve"> both her and her accomplice. In such case, the husband is not punishable </w:t>
      </w:r>
      <w:r w:rsidR="00D528DB">
        <w:rPr>
          <w:rFonts w:ascii="Times New Roman" w:hAnsi="Times New Roman" w:cs="Times New Roman"/>
          <w:sz w:val="28"/>
          <w:szCs w:val="28"/>
          <w:lang w:bidi="ar-EG"/>
        </w:rPr>
        <w:t xml:space="preserve">by the penalties prescribed for premeditated murder or fatal assault, but rather by the penalty of incarceration, whose minimum is as low as 24 hours. The reason for mitigation is the anger and provocation </w:t>
      </w:r>
      <w:r w:rsidR="006D3124" w:rsidRPr="00CC14D4">
        <w:rPr>
          <w:rFonts w:ascii="Times New Roman" w:hAnsi="Times New Roman" w:cs="Times New Roman"/>
          <w:sz w:val="28"/>
          <w:szCs w:val="28"/>
          <w:lang w:bidi="ar-EG"/>
        </w:rPr>
        <w:t>that take</w:t>
      </w:r>
      <w:r w:rsidR="0047251F" w:rsidRPr="00CC14D4">
        <w:rPr>
          <w:rFonts w:ascii="Times New Roman" w:hAnsi="Times New Roman" w:cs="Times New Roman"/>
          <w:sz w:val="28"/>
          <w:szCs w:val="28"/>
          <w:lang w:bidi="ar-EG"/>
        </w:rPr>
        <w:t xml:space="preserve"> </w:t>
      </w:r>
      <w:r w:rsidR="00874704" w:rsidRPr="00CC14D4">
        <w:rPr>
          <w:rFonts w:ascii="Times New Roman" w:hAnsi="Times New Roman" w:cs="Times New Roman"/>
          <w:sz w:val="28"/>
          <w:szCs w:val="28"/>
          <w:lang w:bidi="ar-EG"/>
        </w:rPr>
        <w:t>hold</w:t>
      </w:r>
      <w:r w:rsidR="006D3124" w:rsidRPr="00CC14D4">
        <w:rPr>
          <w:rFonts w:ascii="Times New Roman" w:hAnsi="Times New Roman" w:cs="Times New Roman"/>
          <w:sz w:val="28"/>
          <w:szCs w:val="28"/>
          <w:lang w:bidi="ar-EG"/>
        </w:rPr>
        <w:t xml:space="preserve"> of the husband </w:t>
      </w:r>
      <w:r w:rsidR="00874704" w:rsidRPr="00CC14D4">
        <w:rPr>
          <w:rFonts w:ascii="Times New Roman" w:hAnsi="Times New Roman" w:cs="Times New Roman"/>
          <w:sz w:val="28"/>
          <w:szCs w:val="28"/>
          <w:lang w:bidi="ar-EG"/>
        </w:rPr>
        <w:t>when</w:t>
      </w:r>
      <w:r w:rsidR="006D3124" w:rsidRPr="00CC14D4">
        <w:rPr>
          <w:rFonts w:ascii="Times New Roman" w:hAnsi="Times New Roman" w:cs="Times New Roman"/>
          <w:sz w:val="28"/>
          <w:szCs w:val="28"/>
          <w:lang w:bidi="ar-EG"/>
        </w:rPr>
        <w:t xml:space="preserve"> catch</w:t>
      </w:r>
      <w:r w:rsidR="00874704" w:rsidRPr="00CC14D4">
        <w:rPr>
          <w:rFonts w:ascii="Times New Roman" w:hAnsi="Times New Roman" w:cs="Times New Roman"/>
          <w:sz w:val="28"/>
          <w:szCs w:val="28"/>
          <w:lang w:bidi="ar-EG"/>
        </w:rPr>
        <w:t>ing</w:t>
      </w:r>
      <w:r w:rsidR="006D3124" w:rsidRPr="00CC14D4">
        <w:rPr>
          <w:rFonts w:ascii="Times New Roman" w:hAnsi="Times New Roman" w:cs="Times New Roman"/>
          <w:sz w:val="28"/>
          <w:szCs w:val="28"/>
          <w:lang w:bidi="ar-EG"/>
        </w:rPr>
        <w:t xml:space="preserve"> his wife in the act of unfaithfulness, even if it was not inside the marital home.</w:t>
      </w:r>
    </w:p>
    <w:p w:rsidR="00D528DB" w:rsidRDefault="006C0D63" w:rsidP="00D528DB">
      <w:pPr>
        <w:jc w:val="both"/>
        <w:rPr>
          <w:rFonts w:ascii="Times New Roman" w:hAnsi="Times New Roman" w:cs="Times New Roman"/>
          <w:sz w:val="28"/>
          <w:szCs w:val="28"/>
          <w:lang w:bidi="ar-EG"/>
        </w:rPr>
      </w:pPr>
      <w:r w:rsidRPr="00D528DB">
        <w:rPr>
          <w:rFonts w:ascii="Times New Roman" w:hAnsi="Times New Roman" w:cs="Times New Roman"/>
          <w:sz w:val="28"/>
          <w:szCs w:val="28"/>
          <w:lang w:bidi="ar-EG"/>
        </w:rPr>
        <w:t>However, a wife catching her husband in the act of adultery, even if she caught him in the marital home where they live together</w:t>
      </w:r>
      <w:r w:rsidR="00D528DB">
        <w:rPr>
          <w:rFonts w:ascii="Times New Roman" w:hAnsi="Times New Roman" w:cs="Times New Roman"/>
          <w:sz w:val="28"/>
          <w:szCs w:val="28"/>
          <w:lang w:bidi="ar-EG"/>
        </w:rPr>
        <w:t xml:space="preserve">, does not benefit from this mitigation. This discrimination against women with regard to benefiting from the excuse for mitigation is founded on inhumane premise that it is not acceptable for a wife </w:t>
      </w:r>
      <w:r w:rsidR="00A04891" w:rsidRPr="00D528DB">
        <w:rPr>
          <w:rFonts w:ascii="Times New Roman" w:hAnsi="Times New Roman" w:cs="Times New Roman"/>
          <w:sz w:val="28"/>
          <w:szCs w:val="28"/>
          <w:lang w:bidi="ar-EG"/>
        </w:rPr>
        <w:t xml:space="preserve">to get agitated or </w:t>
      </w:r>
      <w:r w:rsidR="00D528DB">
        <w:rPr>
          <w:rFonts w:ascii="Times New Roman" w:hAnsi="Times New Roman" w:cs="Times New Roman"/>
          <w:sz w:val="28"/>
          <w:szCs w:val="28"/>
          <w:lang w:bidi="ar-EG"/>
        </w:rPr>
        <w:t>act on impulse when she is</w:t>
      </w:r>
      <w:r w:rsidR="00BB531B" w:rsidRPr="00D528DB">
        <w:rPr>
          <w:rFonts w:ascii="Times New Roman" w:hAnsi="Times New Roman" w:cs="Times New Roman"/>
          <w:sz w:val="28"/>
          <w:szCs w:val="28"/>
          <w:lang w:bidi="ar-EG"/>
        </w:rPr>
        <w:t xml:space="preserve"> shocked by catching </w:t>
      </w:r>
      <w:r w:rsidR="00EF5966" w:rsidRPr="00D528DB">
        <w:rPr>
          <w:rFonts w:ascii="Times New Roman" w:hAnsi="Times New Roman" w:cs="Times New Roman"/>
          <w:sz w:val="28"/>
          <w:szCs w:val="28"/>
          <w:lang w:bidi="ar-EG"/>
        </w:rPr>
        <w:t>her life partner cheati</w:t>
      </w:r>
      <w:r w:rsidR="0049182F" w:rsidRPr="00D528DB">
        <w:rPr>
          <w:rFonts w:ascii="Times New Roman" w:hAnsi="Times New Roman" w:cs="Times New Roman"/>
          <w:sz w:val="28"/>
          <w:szCs w:val="28"/>
          <w:lang w:bidi="ar-EG"/>
        </w:rPr>
        <w:t>ng on her in their marital home, but rather must control her anger and agitation</w:t>
      </w:r>
      <w:r w:rsidR="00754DF6" w:rsidRPr="00D528DB">
        <w:rPr>
          <w:rFonts w:ascii="Times New Roman" w:hAnsi="Times New Roman" w:cs="Times New Roman"/>
          <w:sz w:val="28"/>
          <w:szCs w:val="28"/>
          <w:lang w:bidi="ar-EG"/>
        </w:rPr>
        <w:t>,</w:t>
      </w:r>
      <w:r w:rsidR="00D528DB">
        <w:rPr>
          <w:rFonts w:ascii="Times New Roman" w:hAnsi="Times New Roman" w:cs="Times New Roman"/>
          <w:sz w:val="28"/>
          <w:szCs w:val="28"/>
          <w:lang w:bidi="ar-EG"/>
        </w:rPr>
        <w:t xml:space="preserve"> and refrain from hurting her husband or his accomplice. Indeed, if she acted on</w:t>
      </w:r>
      <w:r w:rsidR="005C6837" w:rsidRPr="00D528DB">
        <w:rPr>
          <w:rFonts w:ascii="Times New Roman" w:hAnsi="Times New Roman" w:cs="Times New Roman"/>
          <w:sz w:val="28"/>
          <w:szCs w:val="28"/>
          <w:lang w:bidi="ar-EG"/>
        </w:rPr>
        <w:t xml:space="preserve"> </w:t>
      </w:r>
      <w:r w:rsidR="005B5E8B" w:rsidRPr="00D528DB">
        <w:rPr>
          <w:rFonts w:ascii="Times New Roman" w:hAnsi="Times New Roman" w:cs="Times New Roman"/>
          <w:sz w:val="28"/>
          <w:szCs w:val="28"/>
          <w:lang w:bidi="ar-EG"/>
        </w:rPr>
        <w:t>impuls</w:t>
      </w:r>
      <w:r w:rsidR="005C6837" w:rsidRPr="00D528DB">
        <w:rPr>
          <w:rFonts w:ascii="Times New Roman" w:hAnsi="Times New Roman" w:cs="Times New Roman"/>
          <w:sz w:val="28"/>
          <w:szCs w:val="28"/>
          <w:lang w:bidi="ar-EG"/>
        </w:rPr>
        <w:t>e and</w:t>
      </w:r>
      <w:r w:rsidR="005B5E8B" w:rsidRPr="00D528DB">
        <w:rPr>
          <w:rFonts w:ascii="Times New Roman" w:hAnsi="Times New Roman" w:cs="Times New Roman"/>
          <w:sz w:val="28"/>
          <w:szCs w:val="28"/>
          <w:lang w:bidi="ar-EG"/>
        </w:rPr>
        <w:t xml:space="preserve"> killed him or his </w:t>
      </w:r>
      <w:r w:rsidR="00D528DB">
        <w:rPr>
          <w:rFonts w:ascii="Times New Roman" w:hAnsi="Times New Roman" w:cs="Times New Roman"/>
          <w:sz w:val="28"/>
          <w:szCs w:val="28"/>
          <w:lang w:bidi="ar-EG"/>
        </w:rPr>
        <w:t>accomplice</w:t>
      </w:r>
      <w:r w:rsidR="005B5E8B" w:rsidRPr="00D528DB">
        <w:rPr>
          <w:rFonts w:ascii="Times New Roman" w:hAnsi="Times New Roman" w:cs="Times New Roman"/>
          <w:sz w:val="28"/>
          <w:szCs w:val="28"/>
          <w:lang w:bidi="ar-EG"/>
        </w:rPr>
        <w:t xml:space="preserve">, </w:t>
      </w:r>
      <w:r w:rsidR="00D528DB">
        <w:rPr>
          <w:rFonts w:ascii="Times New Roman" w:hAnsi="Times New Roman" w:cs="Times New Roman"/>
          <w:sz w:val="28"/>
          <w:szCs w:val="28"/>
          <w:lang w:bidi="ar-EG"/>
        </w:rPr>
        <w:t xml:space="preserve">her penalty </w:t>
      </w:r>
      <w:proofErr w:type="spellStart"/>
      <w:r w:rsidR="00D528DB">
        <w:rPr>
          <w:rFonts w:ascii="Times New Roman" w:hAnsi="Times New Roman" w:cs="Times New Roman"/>
          <w:sz w:val="28"/>
          <w:szCs w:val="28"/>
          <w:lang w:bidi="ar-EG"/>
        </w:rPr>
        <w:t>can not</w:t>
      </w:r>
      <w:proofErr w:type="spellEnd"/>
      <w:r w:rsidR="00D528DB">
        <w:rPr>
          <w:rFonts w:ascii="Times New Roman" w:hAnsi="Times New Roman" w:cs="Times New Roman"/>
          <w:sz w:val="28"/>
          <w:szCs w:val="28"/>
          <w:lang w:bidi="ar-EG"/>
        </w:rPr>
        <w:t xml:space="preserve"> be mitigated and she is punishable by the penalty for premeditated murder, i.e. life imprisonment or rigorous imprisonment. </w:t>
      </w:r>
    </w:p>
    <w:p w:rsidR="005F00FC" w:rsidRDefault="00E2666B" w:rsidP="005F00FC">
      <w:pPr>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Therefore, this discrimination is flawed, </w:t>
      </w:r>
      <w:r w:rsidR="00D528DB">
        <w:rPr>
          <w:rFonts w:ascii="Times New Roman" w:hAnsi="Times New Roman" w:cs="Times New Roman"/>
          <w:sz w:val="28"/>
          <w:szCs w:val="28"/>
          <w:lang w:bidi="ar-EG"/>
        </w:rPr>
        <w:t xml:space="preserve">with no grounds in the reason for mitigation, and is sufficient to render the provision on mitigation unconstitutional. Furthermore, it is in contradiction with the </w:t>
      </w:r>
      <w:r w:rsidR="005F00FC">
        <w:rPr>
          <w:rFonts w:ascii="Times New Roman" w:hAnsi="Times New Roman" w:cs="Times New Roman"/>
          <w:sz w:val="28"/>
          <w:szCs w:val="28"/>
          <w:lang w:bidi="ar-EG"/>
        </w:rPr>
        <w:t xml:space="preserve">provisions of Islamic </w:t>
      </w:r>
      <w:proofErr w:type="spellStart"/>
      <w:r w:rsidR="00582DC7">
        <w:rPr>
          <w:rFonts w:ascii="Times New Roman" w:hAnsi="Times New Roman" w:cs="Times New Roman"/>
          <w:sz w:val="28"/>
          <w:szCs w:val="28"/>
          <w:lang w:bidi="ar-EG"/>
        </w:rPr>
        <w:t>Shari’a</w:t>
      </w:r>
      <w:proofErr w:type="spellEnd"/>
      <w:r w:rsidR="005F00FC">
        <w:rPr>
          <w:rFonts w:ascii="Times New Roman" w:hAnsi="Times New Roman" w:cs="Times New Roman"/>
          <w:sz w:val="28"/>
          <w:szCs w:val="28"/>
          <w:lang w:bidi="ar-EG"/>
        </w:rPr>
        <w:t>.</w:t>
      </w:r>
    </w:p>
    <w:p w:rsidR="006B140B" w:rsidRDefault="006B140B" w:rsidP="005F00FC">
      <w:pPr>
        <w:jc w:val="both"/>
        <w:rPr>
          <w:rFonts w:ascii="Times New Roman" w:hAnsi="Times New Roman" w:cs="Times New Roman"/>
          <w:sz w:val="28"/>
          <w:szCs w:val="28"/>
          <w:lang w:bidi="ar-EG"/>
        </w:rPr>
      </w:pPr>
    </w:p>
    <w:p w:rsidR="006B140B" w:rsidRDefault="006B140B" w:rsidP="005F00FC">
      <w:pPr>
        <w:jc w:val="both"/>
        <w:rPr>
          <w:rFonts w:ascii="Times New Roman" w:hAnsi="Times New Roman" w:cs="Times New Roman"/>
          <w:sz w:val="28"/>
          <w:szCs w:val="28"/>
          <w:lang w:bidi="ar-EG"/>
        </w:rPr>
      </w:pPr>
    </w:p>
    <w:p w:rsidR="005F00FC" w:rsidRDefault="005F00FC" w:rsidP="005F00FC">
      <w:pPr>
        <w:jc w:val="both"/>
        <w:rPr>
          <w:rFonts w:ascii="Times New Roman" w:hAnsi="Times New Roman" w:cs="Times New Roman"/>
          <w:b/>
          <w:bCs/>
          <w:sz w:val="28"/>
          <w:szCs w:val="28"/>
          <w:lang w:bidi="ar-EG"/>
        </w:rPr>
      </w:pPr>
      <w:r w:rsidRPr="005F00FC">
        <w:rPr>
          <w:rFonts w:ascii="Times New Roman" w:hAnsi="Times New Roman" w:cs="Times New Roman"/>
          <w:b/>
          <w:bCs/>
          <w:sz w:val="28"/>
          <w:szCs w:val="28"/>
          <w:lang w:bidi="ar-EG"/>
        </w:rPr>
        <w:lastRenderedPageBreak/>
        <w:t>(D) D</w:t>
      </w:r>
      <w:r w:rsidR="00C2004F" w:rsidRPr="005F00FC">
        <w:rPr>
          <w:rFonts w:ascii="Times New Roman" w:hAnsi="Times New Roman" w:cs="Times New Roman"/>
          <w:b/>
          <w:bCs/>
          <w:sz w:val="28"/>
          <w:szCs w:val="28"/>
          <w:lang w:bidi="ar-EG"/>
        </w:rPr>
        <w:t xml:space="preserve">iscrimination </w:t>
      </w:r>
      <w:r>
        <w:rPr>
          <w:rFonts w:ascii="Times New Roman" w:hAnsi="Times New Roman" w:cs="Times New Roman"/>
          <w:b/>
          <w:bCs/>
          <w:sz w:val="28"/>
          <w:szCs w:val="28"/>
          <w:lang w:bidi="ar-EG"/>
        </w:rPr>
        <w:t>between Men and Women</w:t>
      </w:r>
      <w:r w:rsidR="00C2004F" w:rsidRPr="005F00FC">
        <w:rPr>
          <w:rFonts w:ascii="Times New Roman" w:hAnsi="Times New Roman" w:cs="Times New Roman"/>
          <w:b/>
          <w:bCs/>
          <w:sz w:val="28"/>
          <w:szCs w:val="28"/>
          <w:lang w:bidi="ar-EG"/>
        </w:rPr>
        <w:t xml:space="preserve"> in</w:t>
      </w:r>
      <w:r>
        <w:rPr>
          <w:rFonts w:ascii="Times New Roman" w:hAnsi="Times New Roman" w:cs="Times New Roman"/>
          <w:b/>
          <w:bCs/>
          <w:sz w:val="28"/>
          <w:szCs w:val="28"/>
          <w:lang w:bidi="ar-EG"/>
        </w:rPr>
        <w:t xml:space="preserve"> Adultery Proceedings:</w:t>
      </w:r>
    </w:p>
    <w:p w:rsidR="005F00FC" w:rsidRDefault="004B61A1" w:rsidP="005F00FC">
      <w:pPr>
        <w:jc w:val="both"/>
        <w:rPr>
          <w:rFonts w:ascii="Times New Roman" w:hAnsi="Times New Roman" w:cs="Times New Roman"/>
          <w:sz w:val="28"/>
          <w:szCs w:val="28"/>
          <w:lang w:bidi="ar-EG"/>
        </w:rPr>
      </w:pPr>
      <w:r w:rsidRPr="005F00FC">
        <w:rPr>
          <w:rFonts w:ascii="Times New Roman" w:hAnsi="Times New Roman" w:cs="Times New Roman"/>
          <w:sz w:val="28"/>
          <w:szCs w:val="28"/>
          <w:lang w:bidi="ar-EG"/>
        </w:rPr>
        <w:t>T</w:t>
      </w:r>
      <w:r w:rsidR="00111672" w:rsidRPr="005F00FC">
        <w:rPr>
          <w:rFonts w:ascii="Times New Roman" w:hAnsi="Times New Roman" w:cs="Times New Roman"/>
          <w:sz w:val="28"/>
          <w:szCs w:val="28"/>
          <w:lang w:bidi="ar-EG"/>
        </w:rPr>
        <w:t xml:space="preserve">he Egyptian law favors women </w:t>
      </w:r>
      <w:r w:rsidR="005F00FC">
        <w:rPr>
          <w:rFonts w:ascii="Times New Roman" w:hAnsi="Times New Roman" w:cs="Times New Roman"/>
          <w:sz w:val="28"/>
          <w:szCs w:val="28"/>
          <w:lang w:bidi="ar-EG"/>
        </w:rPr>
        <w:t xml:space="preserve">with special provisions in adultery proceedings, which is, in our view, unsound.  </w:t>
      </w:r>
    </w:p>
    <w:p w:rsidR="005F00FC" w:rsidRDefault="005F00FC" w:rsidP="00B30232">
      <w:pPr>
        <w:jc w:val="both"/>
        <w:rPr>
          <w:rFonts w:ascii="Times New Roman" w:hAnsi="Times New Roman" w:cs="Times New Roman"/>
          <w:sz w:val="28"/>
          <w:szCs w:val="28"/>
          <w:lang w:bidi="ar-EG"/>
        </w:rPr>
      </w:pPr>
      <w:r>
        <w:rPr>
          <w:rFonts w:ascii="Times New Roman" w:hAnsi="Times New Roman" w:cs="Times New Roman"/>
          <w:sz w:val="28"/>
          <w:szCs w:val="28"/>
          <w:lang w:bidi="ar-EG"/>
        </w:rPr>
        <w:t>1- A husband</w:t>
      </w:r>
      <w:r w:rsidR="00430934">
        <w:rPr>
          <w:rFonts w:ascii="Times New Roman" w:hAnsi="Times New Roman" w:cs="Times New Roman"/>
          <w:sz w:val="28"/>
          <w:szCs w:val="28"/>
          <w:lang w:bidi="ar-EG"/>
        </w:rPr>
        <w:t xml:space="preserve"> loses his</w:t>
      </w:r>
      <w:r>
        <w:rPr>
          <w:rFonts w:ascii="Times New Roman" w:hAnsi="Times New Roman" w:cs="Times New Roman"/>
          <w:sz w:val="28"/>
          <w:szCs w:val="28"/>
          <w:lang w:bidi="ar-EG"/>
        </w:rPr>
        <w:t xml:space="preserve"> right to file a complaint against his adulterous wife if he had previously committed adultery i</w:t>
      </w:r>
      <w:r w:rsidR="00B30232">
        <w:rPr>
          <w:rFonts w:ascii="Times New Roman" w:hAnsi="Times New Roman" w:cs="Times New Roman"/>
          <w:sz w:val="28"/>
          <w:szCs w:val="28"/>
          <w:lang w:bidi="ar-EG"/>
        </w:rPr>
        <w:t>n the marital home (Article 273</w:t>
      </w:r>
      <w:r>
        <w:rPr>
          <w:rFonts w:ascii="Times New Roman" w:hAnsi="Times New Roman" w:cs="Times New Roman"/>
          <w:sz w:val="28"/>
          <w:szCs w:val="28"/>
          <w:lang w:bidi="ar-EG"/>
        </w:rPr>
        <w:t xml:space="preserve">). In such case, the wife may argue that she </w:t>
      </w:r>
      <w:proofErr w:type="spellStart"/>
      <w:r>
        <w:rPr>
          <w:rFonts w:ascii="Times New Roman" w:hAnsi="Times New Roman" w:cs="Times New Roman"/>
          <w:sz w:val="28"/>
          <w:szCs w:val="28"/>
          <w:lang w:bidi="ar-EG"/>
        </w:rPr>
        <w:t>can not</w:t>
      </w:r>
      <w:proofErr w:type="spellEnd"/>
      <w:r>
        <w:rPr>
          <w:rFonts w:ascii="Times New Roman" w:hAnsi="Times New Roman" w:cs="Times New Roman"/>
          <w:sz w:val="28"/>
          <w:szCs w:val="28"/>
          <w:lang w:bidi="ar-EG"/>
        </w:rPr>
        <w:t xml:space="preserve"> be brought for trial since her husband had previously committed adultery. This is an established right for the wife, but not for the husband, i.e. </w:t>
      </w:r>
      <w:r w:rsidR="00430934">
        <w:rPr>
          <w:rFonts w:ascii="Times New Roman" w:hAnsi="Times New Roman" w:cs="Times New Roman"/>
          <w:sz w:val="28"/>
          <w:szCs w:val="28"/>
          <w:lang w:bidi="ar-EG"/>
        </w:rPr>
        <w:t xml:space="preserve">a wife has the right to file a complaint against her adulterous husband even if she had previously committed adultery. This provision is flawed since it establishes set-off in immoralities and sins, since it seems to be granting the wife a right to commit adultery if her husband had set the precedent. It is an anomalous provision justifying immorality by immorality, and we therefore believe that it should be </w:t>
      </w:r>
      <w:r w:rsidR="007A451A">
        <w:rPr>
          <w:rFonts w:ascii="Times New Roman" w:hAnsi="Times New Roman" w:cs="Times New Roman"/>
          <w:sz w:val="28"/>
          <w:szCs w:val="28"/>
          <w:lang w:bidi="ar-EG"/>
        </w:rPr>
        <w:t xml:space="preserve">abolished. For despite the fact that its serves the interest of women, such interest is, however, </w:t>
      </w:r>
      <w:r w:rsidR="00B30232">
        <w:rPr>
          <w:rFonts w:ascii="Times New Roman" w:hAnsi="Times New Roman" w:cs="Times New Roman"/>
          <w:sz w:val="28"/>
          <w:szCs w:val="28"/>
          <w:lang w:bidi="ar-EG"/>
        </w:rPr>
        <w:t xml:space="preserve">not legitimate. </w:t>
      </w:r>
    </w:p>
    <w:p w:rsidR="00B30232" w:rsidRDefault="00B30232" w:rsidP="00B30232">
      <w:pPr>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2- If a wife is convicted of adultery, the husband may stay the execution of the sentence if he agrees to </w:t>
      </w:r>
      <w:r w:rsidRPr="00B30232">
        <w:rPr>
          <w:rFonts w:ascii="Times New Roman" w:hAnsi="Times New Roman" w:cs="Times New Roman"/>
          <w:sz w:val="28"/>
          <w:szCs w:val="28"/>
          <w:lang w:bidi="ar-EG"/>
        </w:rPr>
        <w:t>continuing their marital life as it was</w:t>
      </w:r>
      <w:r>
        <w:rPr>
          <w:rFonts w:ascii="Times New Roman" w:hAnsi="Times New Roman" w:cs="Times New Roman"/>
          <w:sz w:val="28"/>
          <w:szCs w:val="28"/>
          <w:lang w:bidi="ar-EG"/>
        </w:rPr>
        <w:t xml:space="preserve">. This means that pardoning the penalty is a right of the husband for the benefit of his wife. A wife, however, has no right to pardon her husband's penalty if she agrees to </w:t>
      </w:r>
      <w:r w:rsidRPr="00B30232">
        <w:rPr>
          <w:rFonts w:ascii="Times New Roman" w:hAnsi="Times New Roman" w:cs="Times New Roman"/>
          <w:sz w:val="28"/>
          <w:szCs w:val="28"/>
          <w:lang w:bidi="ar-EG"/>
        </w:rPr>
        <w:t>continuing their marital life as it was</w:t>
      </w:r>
      <w:r>
        <w:rPr>
          <w:rFonts w:ascii="Times New Roman" w:hAnsi="Times New Roman" w:cs="Times New Roman"/>
          <w:sz w:val="28"/>
          <w:szCs w:val="28"/>
          <w:lang w:bidi="ar-EG"/>
        </w:rPr>
        <w:t xml:space="preserve"> (Article 274). This is unsound discrimination between men and women, as it establishes the inferiority of women despite seemingly being for her benefit, since it does not consider the interest of the family of the wife believed that it would be better to pardon her husband to protect the reputation of the family and out o concern for her children's feelings. </w:t>
      </w:r>
    </w:p>
    <w:p w:rsidR="00B30232" w:rsidRPr="00B30232" w:rsidRDefault="00A22737" w:rsidP="00A22737">
      <w:pPr>
        <w:jc w:val="both"/>
        <w:rPr>
          <w:rFonts w:ascii="Times New Roman" w:hAnsi="Times New Roman" w:cs="Times New Roman"/>
          <w:b/>
          <w:bCs/>
          <w:sz w:val="28"/>
          <w:szCs w:val="28"/>
          <w:u w:val="single"/>
          <w:lang w:bidi="ar-EG"/>
        </w:rPr>
      </w:pPr>
      <w:r>
        <w:rPr>
          <w:rFonts w:ascii="Times New Roman" w:hAnsi="Times New Roman" w:cs="Times New Roman"/>
          <w:b/>
          <w:bCs/>
          <w:sz w:val="28"/>
          <w:szCs w:val="28"/>
          <w:u w:val="single"/>
          <w:lang w:bidi="ar-EG"/>
        </w:rPr>
        <w:t>The Legislative Attitude towards Female Genital Mutilation</w:t>
      </w:r>
      <w:r w:rsidR="00B30232">
        <w:rPr>
          <w:rFonts w:ascii="Times New Roman" w:hAnsi="Times New Roman" w:cs="Times New Roman"/>
          <w:b/>
          <w:bCs/>
          <w:sz w:val="28"/>
          <w:szCs w:val="28"/>
          <w:u w:val="single"/>
          <w:lang w:bidi="ar-EG"/>
        </w:rPr>
        <w:t>:</w:t>
      </w:r>
    </w:p>
    <w:p w:rsidR="00B30232" w:rsidRDefault="00B30232" w:rsidP="00B30232">
      <w:pPr>
        <w:jc w:val="both"/>
        <w:rPr>
          <w:rFonts w:ascii="Times New Roman" w:hAnsi="Times New Roman" w:cs="Times New Roman"/>
          <w:sz w:val="28"/>
          <w:szCs w:val="28"/>
          <w:lang w:bidi="ar-EG"/>
        </w:rPr>
      </w:pPr>
      <w:r>
        <w:rPr>
          <w:rFonts w:ascii="Times New Roman" w:hAnsi="Times New Roman" w:cs="Times New Roman"/>
          <w:sz w:val="28"/>
          <w:szCs w:val="28"/>
          <w:lang w:bidi="ar-EG"/>
        </w:rPr>
        <w:t>T</w:t>
      </w:r>
      <w:r w:rsidR="000308A6">
        <w:rPr>
          <w:rFonts w:ascii="Times New Roman" w:hAnsi="Times New Roman" w:cs="Times New Roman"/>
          <w:sz w:val="28"/>
          <w:szCs w:val="28"/>
          <w:lang w:bidi="ar-EG"/>
        </w:rPr>
        <w:t xml:space="preserve">he </w:t>
      </w:r>
      <w:r>
        <w:rPr>
          <w:rFonts w:ascii="Times New Roman" w:hAnsi="Times New Roman" w:cs="Times New Roman"/>
          <w:sz w:val="28"/>
          <w:szCs w:val="28"/>
          <w:lang w:bidi="ar-EG"/>
        </w:rPr>
        <w:t xml:space="preserve">battle of the Egyptian society against </w:t>
      </w:r>
      <w:r w:rsidR="00A22737">
        <w:rPr>
          <w:rFonts w:ascii="Times New Roman" w:hAnsi="Times New Roman" w:cs="Times New Roman"/>
          <w:sz w:val="28"/>
          <w:szCs w:val="28"/>
          <w:lang w:bidi="ar-EG"/>
        </w:rPr>
        <w:t>female genital mutilation</w:t>
      </w:r>
      <w:r>
        <w:rPr>
          <w:rFonts w:ascii="Times New Roman" w:hAnsi="Times New Roman" w:cs="Times New Roman"/>
          <w:sz w:val="28"/>
          <w:szCs w:val="28"/>
          <w:lang w:bidi="ar-EG"/>
        </w:rPr>
        <w:t xml:space="preserve"> started as early as 1920, or even before that, since the Penal Code of 1883 criminalized any infringement on the physical integrity of a human being, whether male or female. </w:t>
      </w:r>
      <w:r w:rsidR="003F0F0A">
        <w:rPr>
          <w:rFonts w:ascii="Times New Roman" w:hAnsi="Times New Roman" w:cs="Times New Roman"/>
          <w:sz w:val="28"/>
          <w:szCs w:val="28"/>
          <w:lang w:bidi="ar-EG"/>
        </w:rPr>
        <w:t xml:space="preserve">Nevertheless, the legislator never showed the explicit will to solve the matter decisively. Administrative Courts upheld the decisions by the Ministry of Health on banning circumcision for girls in the facilities of the Ministry, save in exceptional cases. </w:t>
      </w:r>
    </w:p>
    <w:p w:rsidR="003F0F0A" w:rsidRDefault="003F0F0A" w:rsidP="003F0F0A">
      <w:pPr>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Most recently, Law 126/2008 added to the Penal Code a mediocre text, in both form and substance, (Article 242(</w:t>
      </w:r>
      <w:proofErr w:type="spellStart"/>
      <w:r>
        <w:rPr>
          <w:rFonts w:ascii="Times New Roman" w:hAnsi="Times New Roman" w:cs="Times New Roman"/>
          <w:sz w:val="28"/>
          <w:szCs w:val="28"/>
          <w:lang w:bidi="ar-EG"/>
        </w:rPr>
        <w:t>Bis</w:t>
      </w:r>
      <w:proofErr w:type="spellEnd"/>
      <w:r>
        <w:rPr>
          <w:rFonts w:ascii="Times New Roman" w:hAnsi="Times New Roman" w:cs="Times New Roman"/>
          <w:sz w:val="28"/>
          <w:szCs w:val="28"/>
          <w:lang w:bidi="ar-EG"/>
        </w:rPr>
        <w:t xml:space="preserve">)) which prescribed heavier penalty for the crime of deliberate physical injury if it was caused in the course of </w:t>
      </w:r>
      <w:r w:rsidR="00A22737">
        <w:rPr>
          <w:rFonts w:ascii="Times New Roman" w:hAnsi="Times New Roman" w:cs="Times New Roman"/>
          <w:sz w:val="28"/>
          <w:szCs w:val="28"/>
          <w:lang w:bidi="ar-EG"/>
        </w:rPr>
        <w:t>female genital mutilation</w:t>
      </w:r>
      <w:r>
        <w:rPr>
          <w:rFonts w:ascii="Times New Roman" w:hAnsi="Times New Roman" w:cs="Times New Roman"/>
          <w:sz w:val="28"/>
          <w:szCs w:val="28"/>
          <w:lang w:bidi="ar-EG"/>
        </w:rPr>
        <w:t>, notwithstanding the provision of article 61 of the penal code with regard to cases of necessity. The following may be noted</w:t>
      </w:r>
      <w:r w:rsidR="00FC5047">
        <w:rPr>
          <w:rFonts w:ascii="Times New Roman" w:hAnsi="Times New Roman" w:cs="Times New Roman"/>
          <w:sz w:val="28"/>
          <w:szCs w:val="28"/>
          <w:lang w:bidi="ar-EG"/>
        </w:rPr>
        <w:t xml:space="preserve"> in relation to the article</w:t>
      </w:r>
      <w:r>
        <w:rPr>
          <w:rFonts w:ascii="Times New Roman" w:hAnsi="Times New Roman" w:cs="Times New Roman"/>
          <w:sz w:val="28"/>
          <w:szCs w:val="28"/>
          <w:lang w:bidi="ar-EG"/>
        </w:rPr>
        <w:t>:</w:t>
      </w:r>
    </w:p>
    <w:p w:rsidR="003F0F0A" w:rsidRDefault="003F0F0A" w:rsidP="00FC5047">
      <w:pPr>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r w:rsidR="00FC5047">
        <w:rPr>
          <w:rFonts w:ascii="Times New Roman" w:hAnsi="Times New Roman" w:cs="Times New Roman"/>
          <w:sz w:val="28"/>
          <w:szCs w:val="28"/>
          <w:lang w:bidi="ar-EG"/>
        </w:rPr>
        <w:t>It</w:t>
      </w:r>
      <w:r>
        <w:rPr>
          <w:rFonts w:ascii="Times New Roman" w:hAnsi="Times New Roman" w:cs="Times New Roman"/>
          <w:sz w:val="28"/>
          <w:szCs w:val="28"/>
          <w:lang w:bidi="ar-EG"/>
        </w:rPr>
        <w:t xml:space="preserve"> </w:t>
      </w:r>
      <w:r w:rsidR="00A22737">
        <w:rPr>
          <w:rFonts w:ascii="Times New Roman" w:hAnsi="Times New Roman" w:cs="Times New Roman"/>
          <w:sz w:val="28"/>
          <w:szCs w:val="28"/>
          <w:lang w:bidi="ar-EG"/>
        </w:rPr>
        <w:t xml:space="preserve">does </w:t>
      </w:r>
      <w:r>
        <w:rPr>
          <w:rFonts w:ascii="Times New Roman" w:hAnsi="Times New Roman" w:cs="Times New Roman"/>
          <w:sz w:val="28"/>
          <w:szCs w:val="28"/>
          <w:lang w:bidi="ar-EG"/>
        </w:rPr>
        <w:t xml:space="preserve">not directly criminalize </w:t>
      </w:r>
      <w:r w:rsidR="00A22737">
        <w:rPr>
          <w:rFonts w:ascii="Times New Roman" w:hAnsi="Times New Roman" w:cs="Times New Roman"/>
          <w:sz w:val="28"/>
          <w:szCs w:val="28"/>
          <w:lang w:bidi="ar-EG"/>
        </w:rPr>
        <w:t>female genital mutilation</w:t>
      </w:r>
      <w:r>
        <w:rPr>
          <w:rFonts w:ascii="Times New Roman" w:hAnsi="Times New Roman" w:cs="Times New Roman"/>
          <w:sz w:val="28"/>
          <w:szCs w:val="28"/>
          <w:lang w:bidi="ar-EG"/>
        </w:rPr>
        <w:t xml:space="preserve">, but only considers circumcision an aggravating factor in the crime of deliberate physical injury. </w:t>
      </w:r>
    </w:p>
    <w:p w:rsidR="003F0F0A" w:rsidRDefault="003F0F0A" w:rsidP="00FC5047">
      <w:pPr>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w:t>
      </w:r>
      <w:r w:rsidR="00FC5047">
        <w:rPr>
          <w:rFonts w:ascii="Times New Roman" w:hAnsi="Times New Roman" w:cs="Times New Roman"/>
          <w:sz w:val="28"/>
          <w:szCs w:val="28"/>
          <w:lang w:bidi="ar-EG"/>
        </w:rPr>
        <w:t xml:space="preserve">It makes necessity an exemption from liability and punishment for </w:t>
      </w:r>
      <w:r w:rsidR="00A22737">
        <w:rPr>
          <w:rFonts w:ascii="Times New Roman" w:hAnsi="Times New Roman" w:cs="Times New Roman"/>
          <w:sz w:val="28"/>
          <w:szCs w:val="28"/>
          <w:lang w:bidi="ar-EG"/>
        </w:rPr>
        <w:t>female genital mutilation</w:t>
      </w:r>
      <w:r w:rsidR="00FC5047">
        <w:rPr>
          <w:rFonts w:ascii="Times New Roman" w:hAnsi="Times New Roman" w:cs="Times New Roman"/>
          <w:sz w:val="28"/>
          <w:szCs w:val="28"/>
          <w:lang w:bidi="ar-EG"/>
        </w:rPr>
        <w:t xml:space="preserve">, thereby leaving room for circumventing the new provision by simply claiming that the procedure was necessary to save the female from a grave threat, and the legal rule established that necessity knows no law.  </w:t>
      </w:r>
    </w:p>
    <w:p w:rsidR="00FC5047" w:rsidRDefault="00FC5047" w:rsidP="00FC5047">
      <w:pPr>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 It grants judges broad discretion in choosing between incarceration and fine. The lower limit of the fine, 1000 Pounds, is not proportionate to the possible revenues of the crime. </w:t>
      </w:r>
    </w:p>
    <w:p w:rsidR="00FC5047" w:rsidRDefault="00FC5047" w:rsidP="00FC5047">
      <w:pPr>
        <w:jc w:val="both"/>
        <w:rPr>
          <w:rFonts w:ascii="Times New Roman" w:hAnsi="Times New Roman" w:cs="Times New Roman"/>
          <w:sz w:val="28"/>
          <w:szCs w:val="28"/>
          <w:lang w:bidi="ar-EG"/>
        </w:rPr>
      </w:pPr>
      <w:r>
        <w:rPr>
          <w:rFonts w:ascii="Times New Roman" w:hAnsi="Times New Roman" w:cs="Times New Roman"/>
          <w:sz w:val="28"/>
          <w:szCs w:val="28"/>
          <w:lang w:bidi="ar-EG"/>
        </w:rPr>
        <w:t>- It places the accused at an even better position than where he would be in its absence. Criminal jurisprudence has established that circumcision constitutes an infringement on the physical integrity of the female which is punishable under the penal code. The pena</w:t>
      </w:r>
      <w:r w:rsidR="009E03C7">
        <w:rPr>
          <w:rFonts w:ascii="Times New Roman" w:hAnsi="Times New Roman" w:cs="Times New Roman"/>
          <w:sz w:val="28"/>
          <w:szCs w:val="28"/>
          <w:lang w:bidi="ar-EG"/>
        </w:rPr>
        <w:t xml:space="preserve">lty is aggravated if it leads to death, since the crime is then deliberate physical injury leading to death (Article 236). If death is considered to be the result of involuntary homicide, the accused shall be punishable by incarceration for no less than one year and no more than five years, and a fine between 100 and 500 pounds, or either penalty. </w:t>
      </w:r>
    </w:p>
    <w:p w:rsidR="00BD2A11" w:rsidRDefault="00A22737" w:rsidP="009E03C7">
      <w:pPr>
        <w:jc w:val="both"/>
        <w:rPr>
          <w:rFonts w:ascii="Times New Roman" w:hAnsi="Times New Roman" w:cs="Times New Roman"/>
          <w:sz w:val="28"/>
          <w:szCs w:val="28"/>
          <w:lang w:bidi="ar-EG"/>
        </w:rPr>
      </w:pPr>
      <w:r>
        <w:rPr>
          <w:rFonts w:ascii="Times New Roman" w:hAnsi="Times New Roman" w:cs="Times New Roman"/>
          <w:b/>
          <w:bCs/>
          <w:sz w:val="28"/>
          <w:szCs w:val="28"/>
          <w:lang w:bidi="ar-EG"/>
        </w:rPr>
        <w:t>Recommendations</w:t>
      </w:r>
      <w:r w:rsidR="00BD2A11" w:rsidRPr="00BD2A11">
        <w:rPr>
          <w:rFonts w:ascii="Times New Roman" w:hAnsi="Times New Roman" w:cs="Times New Roman"/>
          <w:b/>
          <w:bCs/>
          <w:sz w:val="28"/>
          <w:szCs w:val="28"/>
          <w:lang w:bidi="ar-EG"/>
        </w:rPr>
        <w:t>:</w:t>
      </w:r>
    </w:p>
    <w:p w:rsidR="009E03C7" w:rsidRDefault="009E03C7" w:rsidP="009E03C7">
      <w:pPr>
        <w:pStyle w:val="ListParagraph"/>
        <w:numPr>
          <w:ilvl w:val="0"/>
          <w:numId w:val="7"/>
        </w:numPr>
        <w:ind w:left="1077" w:hanging="357"/>
        <w:contextualSpacing w:val="0"/>
        <w:jc w:val="both"/>
        <w:rPr>
          <w:rFonts w:ascii="Times New Roman" w:hAnsi="Times New Roman" w:cs="Times New Roman"/>
          <w:sz w:val="28"/>
          <w:szCs w:val="28"/>
          <w:lang w:bidi="ar-EG"/>
        </w:rPr>
      </w:pPr>
      <w:r>
        <w:rPr>
          <w:rFonts w:ascii="Times New Roman" w:hAnsi="Times New Roman" w:cs="Times New Roman"/>
          <w:sz w:val="28"/>
          <w:szCs w:val="28"/>
          <w:lang w:bidi="ar-EG"/>
        </w:rPr>
        <w:t xml:space="preserve">Working towards limiting the use of Article 17 by judges in cases of rape, as well as in the premeditated murder cases known as "honor crimes", similar to the way it is not used in drug crimes.  </w:t>
      </w:r>
    </w:p>
    <w:p w:rsidR="003961CD" w:rsidRPr="009E03C7" w:rsidRDefault="009E03C7" w:rsidP="009E03C7">
      <w:pPr>
        <w:pStyle w:val="ListParagraph"/>
        <w:numPr>
          <w:ilvl w:val="0"/>
          <w:numId w:val="7"/>
        </w:numPr>
        <w:ind w:left="1077" w:hanging="357"/>
        <w:contextualSpacing w:val="0"/>
        <w:jc w:val="both"/>
        <w:rPr>
          <w:rFonts w:ascii="Times New Roman" w:hAnsi="Times New Roman" w:cs="Times New Roman"/>
          <w:sz w:val="28"/>
          <w:szCs w:val="28"/>
          <w:lang w:bidi="ar-EG"/>
        </w:rPr>
      </w:pPr>
      <w:r w:rsidRPr="009E03C7">
        <w:rPr>
          <w:rFonts w:ascii="Times New Roman" w:hAnsi="Times New Roman" w:cs="Times New Roman"/>
          <w:sz w:val="28"/>
          <w:szCs w:val="28"/>
          <w:lang w:bidi="ar-EG"/>
        </w:rPr>
        <w:t xml:space="preserve">Activation of the </w:t>
      </w:r>
      <w:r>
        <w:rPr>
          <w:rFonts w:ascii="Times New Roman" w:hAnsi="Times New Roman" w:cs="Times New Roman"/>
          <w:sz w:val="28"/>
          <w:szCs w:val="28"/>
          <w:lang w:bidi="ar-EG"/>
        </w:rPr>
        <w:t>provisions of the new C</w:t>
      </w:r>
      <w:r w:rsidR="000034FD" w:rsidRPr="009E03C7">
        <w:rPr>
          <w:rFonts w:ascii="Times New Roman" w:hAnsi="Times New Roman" w:cs="Times New Roman"/>
          <w:sz w:val="28"/>
          <w:szCs w:val="28"/>
          <w:lang w:bidi="ar-EG"/>
        </w:rPr>
        <w:t>onstituti</w:t>
      </w:r>
      <w:r>
        <w:rPr>
          <w:rFonts w:ascii="Times New Roman" w:hAnsi="Times New Roman" w:cs="Times New Roman"/>
          <w:sz w:val="28"/>
          <w:szCs w:val="28"/>
          <w:lang w:bidi="ar-EG"/>
        </w:rPr>
        <w:t>on that establish</w:t>
      </w:r>
      <w:r w:rsidR="000034FD" w:rsidRPr="009E03C7">
        <w:rPr>
          <w:rFonts w:ascii="Times New Roman" w:hAnsi="Times New Roman" w:cs="Times New Roman"/>
          <w:sz w:val="28"/>
          <w:szCs w:val="28"/>
          <w:lang w:bidi="ar-EG"/>
        </w:rPr>
        <w:t xml:space="preserve"> </w:t>
      </w:r>
      <w:r>
        <w:rPr>
          <w:rFonts w:ascii="Times New Roman" w:hAnsi="Times New Roman" w:cs="Times New Roman"/>
          <w:sz w:val="28"/>
          <w:szCs w:val="28"/>
          <w:lang w:bidi="ar-EG"/>
        </w:rPr>
        <w:t>the equality of</w:t>
      </w:r>
      <w:r w:rsidR="000034FD" w:rsidRPr="009E03C7">
        <w:rPr>
          <w:rFonts w:ascii="Times New Roman" w:hAnsi="Times New Roman" w:cs="Times New Roman"/>
          <w:sz w:val="28"/>
          <w:szCs w:val="28"/>
          <w:lang w:bidi="ar-EG"/>
        </w:rPr>
        <w:t xml:space="preserve"> men and women</w:t>
      </w:r>
      <w:r>
        <w:rPr>
          <w:rFonts w:ascii="Times New Roman" w:hAnsi="Times New Roman" w:cs="Times New Roman"/>
          <w:sz w:val="28"/>
          <w:szCs w:val="28"/>
          <w:lang w:bidi="ar-EG"/>
        </w:rPr>
        <w:t xml:space="preserve"> before the law, therefore</w:t>
      </w:r>
      <w:r w:rsidR="000034FD" w:rsidRPr="009E03C7">
        <w:rPr>
          <w:rFonts w:ascii="Times New Roman" w:hAnsi="Times New Roman" w:cs="Times New Roman"/>
          <w:sz w:val="28"/>
          <w:szCs w:val="28"/>
          <w:lang w:bidi="ar-EG"/>
        </w:rPr>
        <w:t xml:space="preserve"> changing</w:t>
      </w:r>
      <w:r w:rsidR="00425035" w:rsidRPr="009E03C7">
        <w:rPr>
          <w:rFonts w:ascii="Times New Roman" w:hAnsi="Times New Roman" w:cs="Times New Roman"/>
          <w:sz w:val="28"/>
          <w:szCs w:val="28"/>
          <w:lang w:bidi="ar-EG"/>
        </w:rPr>
        <w:t xml:space="preserve"> the </w:t>
      </w:r>
      <w:r>
        <w:rPr>
          <w:rFonts w:ascii="Times New Roman" w:hAnsi="Times New Roman" w:cs="Times New Roman"/>
          <w:sz w:val="28"/>
          <w:szCs w:val="28"/>
          <w:lang w:bidi="ar-EG"/>
        </w:rPr>
        <w:t xml:space="preserve">legal </w:t>
      </w:r>
      <w:r w:rsidR="00425035" w:rsidRPr="009E03C7">
        <w:rPr>
          <w:rFonts w:ascii="Times New Roman" w:hAnsi="Times New Roman" w:cs="Times New Roman"/>
          <w:sz w:val="28"/>
          <w:szCs w:val="28"/>
          <w:lang w:bidi="ar-EG"/>
        </w:rPr>
        <w:t xml:space="preserve">provisions </w:t>
      </w:r>
      <w:r>
        <w:rPr>
          <w:rFonts w:ascii="Times New Roman" w:hAnsi="Times New Roman" w:cs="Times New Roman"/>
          <w:sz w:val="28"/>
          <w:szCs w:val="28"/>
          <w:lang w:bidi="ar-EG"/>
        </w:rPr>
        <w:t xml:space="preserve">involving discrimination against women. </w:t>
      </w:r>
    </w:p>
    <w:p w:rsidR="00425035" w:rsidRPr="009E03C7" w:rsidRDefault="009E03C7" w:rsidP="009E03C7">
      <w:pPr>
        <w:pStyle w:val="ListParagraph"/>
        <w:numPr>
          <w:ilvl w:val="0"/>
          <w:numId w:val="7"/>
        </w:numPr>
        <w:ind w:left="1077" w:hanging="357"/>
        <w:contextualSpacing w:val="0"/>
        <w:jc w:val="both"/>
        <w:rPr>
          <w:rFonts w:ascii="Times New Roman" w:hAnsi="Times New Roman" w:cs="Times New Roman"/>
          <w:sz w:val="28"/>
          <w:szCs w:val="28"/>
          <w:lang w:bidi="ar-EG"/>
        </w:rPr>
      </w:pPr>
      <w:r>
        <w:rPr>
          <w:rFonts w:ascii="Times New Roman" w:hAnsi="Times New Roman" w:cs="Times New Roman"/>
          <w:sz w:val="28"/>
          <w:szCs w:val="28"/>
          <w:lang w:bidi="ar-EG"/>
        </w:rPr>
        <w:lastRenderedPageBreak/>
        <w:t xml:space="preserve">Criminalizing </w:t>
      </w:r>
      <w:r w:rsidR="00A22737">
        <w:rPr>
          <w:rFonts w:ascii="Times New Roman" w:hAnsi="Times New Roman" w:cs="Times New Roman"/>
          <w:sz w:val="28"/>
          <w:szCs w:val="28"/>
          <w:lang w:bidi="ar-EG"/>
        </w:rPr>
        <w:t>female genital mutilation</w:t>
      </w:r>
      <w:r>
        <w:rPr>
          <w:rFonts w:ascii="Times New Roman" w:hAnsi="Times New Roman" w:cs="Times New Roman"/>
          <w:sz w:val="28"/>
          <w:szCs w:val="28"/>
          <w:lang w:bidi="ar-EG"/>
        </w:rPr>
        <w:t xml:space="preserve"> with an explicit provision and without exceptions, with aggravated penalties for medical professionals who perform circumcision, and making incarceration a mandatory penalty in cases of recurrence or if the accused </w:t>
      </w:r>
      <w:r w:rsidR="009C73E4">
        <w:rPr>
          <w:rFonts w:ascii="Times New Roman" w:hAnsi="Times New Roman" w:cs="Times New Roman"/>
          <w:sz w:val="28"/>
          <w:szCs w:val="28"/>
          <w:lang w:bidi="ar-EG"/>
        </w:rPr>
        <w:t>is proven to be a habitual pract</w:t>
      </w:r>
      <w:r w:rsidR="006B140B">
        <w:rPr>
          <w:rFonts w:ascii="Times New Roman" w:hAnsi="Times New Roman" w:cs="Times New Roman"/>
          <w:sz w:val="28"/>
          <w:szCs w:val="28"/>
          <w:lang w:bidi="ar-EG"/>
        </w:rPr>
        <w:t xml:space="preserve">itioner of </w:t>
      </w:r>
      <w:r w:rsidR="00A22737">
        <w:rPr>
          <w:rFonts w:ascii="Times New Roman" w:hAnsi="Times New Roman" w:cs="Times New Roman"/>
          <w:sz w:val="28"/>
          <w:szCs w:val="28"/>
          <w:lang w:bidi="ar-EG"/>
        </w:rPr>
        <w:t>female genital mutilation</w:t>
      </w:r>
      <w:r w:rsidR="006B140B">
        <w:rPr>
          <w:rFonts w:ascii="Times New Roman" w:hAnsi="Times New Roman" w:cs="Times New Roman"/>
          <w:sz w:val="28"/>
          <w:szCs w:val="28"/>
          <w:lang w:bidi="ar-EG"/>
        </w:rPr>
        <w:t>.</w:t>
      </w:r>
    </w:p>
    <w:sectPr w:rsidR="00425035" w:rsidRPr="009E03C7" w:rsidSect="008300EE">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7166" w:rsidRDefault="00147166" w:rsidP="00AC7E21">
      <w:pPr>
        <w:spacing w:after="0" w:line="240" w:lineRule="auto"/>
      </w:pPr>
      <w:r>
        <w:separator/>
      </w:r>
    </w:p>
  </w:endnote>
  <w:endnote w:type="continuationSeparator" w:id="0">
    <w:p w:rsidR="00147166" w:rsidRDefault="00147166" w:rsidP="00AC7E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7166" w:rsidRDefault="00147166" w:rsidP="00AC7E21">
      <w:pPr>
        <w:spacing w:after="0" w:line="240" w:lineRule="auto"/>
      </w:pPr>
      <w:r>
        <w:separator/>
      </w:r>
    </w:p>
  </w:footnote>
  <w:footnote w:type="continuationSeparator" w:id="0">
    <w:p w:rsidR="00147166" w:rsidRDefault="00147166" w:rsidP="00AC7E21">
      <w:pPr>
        <w:spacing w:after="0" w:line="240" w:lineRule="auto"/>
      </w:pPr>
      <w:r>
        <w:continuationSeparator/>
      </w:r>
    </w:p>
  </w:footnote>
  <w:footnote w:id="1">
    <w:p w:rsidR="00AC7E21" w:rsidRDefault="00AC7E21" w:rsidP="00687600">
      <w:pPr>
        <w:pStyle w:val="FootnoteText"/>
        <w:jc w:val="both"/>
      </w:pPr>
      <w:r>
        <w:rPr>
          <w:rStyle w:val="FootnoteReference"/>
        </w:rPr>
        <w:footnoteRef/>
      </w:r>
      <w:r>
        <w:t xml:space="preserve"> </w:t>
      </w:r>
      <w:r w:rsidR="00876D16">
        <w:t>"</w:t>
      </w:r>
      <w:r w:rsidR="002638F0">
        <w:t>Egypt: Keeping women out</w:t>
      </w:r>
      <w:r w:rsidR="00876D16">
        <w:t>. Sexual violence against Women in the Public S</w:t>
      </w:r>
      <w:r w:rsidR="002638F0">
        <w:t>phere</w:t>
      </w:r>
      <w:r w:rsidR="00876D16">
        <w:t xml:space="preserve">", a joint report by </w:t>
      </w:r>
      <w:r w:rsidR="00876D16" w:rsidRPr="00876D16">
        <w:t xml:space="preserve">FIDH, </w:t>
      </w:r>
      <w:proofErr w:type="spellStart"/>
      <w:r w:rsidR="00876D16" w:rsidRPr="00876D16">
        <w:t>Nazra</w:t>
      </w:r>
      <w:proofErr w:type="spellEnd"/>
      <w:r w:rsidR="00876D16" w:rsidRPr="00876D16">
        <w:t xml:space="preserve"> for Feminist Studies, New Women Foundation</w:t>
      </w:r>
      <w:r w:rsidR="00876D16">
        <w:t>,</w:t>
      </w:r>
      <w:r w:rsidR="00876D16" w:rsidRPr="00876D16">
        <w:t xml:space="preserve"> and Uprising of Women in the Arab World</w:t>
      </w:r>
      <w:r w:rsidR="00876D16">
        <w:t>. April 16</w:t>
      </w:r>
      <w:r w:rsidR="00876D16" w:rsidRPr="00876D16">
        <w:rPr>
          <w:vertAlign w:val="superscript"/>
        </w:rPr>
        <w:t>th</w:t>
      </w:r>
      <w:r w:rsidR="00876D16">
        <w:t xml:space="preserve"> 2014. Available at: </w:t>
      </w:r>
      <w:hyperlink r:id="rId1" w:history="1">
        <w:r w:rsidR="00876D16" w:rsidRPr="00876D16">
          <w:rPr>
            <w:rStyle w:val="Hyperlink"/>
          </w:rPr>
          <w:t>http://nazra.org/sites/nazra/files/attachments/joint_report_sexual_violence_egypt_en.pdf</w:t>
        </w:r>
      </w:hyperlink>
      <w:r w:rsidR="00876D16">
        <w:t>.</w:t>
      </w:r>
    </w:p>
  </w:footnote>
  <w:footnote w:id="2">
    <w:p w:rsidR="00876D16" w:rsidRDefault="00876D16" w:rsidP="00687600">
      <w:pPr>
        <w:pStyle w:val="FootnoteText"/>
        <w:jc w:val="both"/>
      </w:pPr>
      <w:r>
        <w:rPr>
          <w:rStyle w:val="FootnoteReference"/>
        </w:rPr>
        <w:footnoteRef/>
      </w:r>
      <w:r>
        <w:t xml:space="preserve"> </w:t>
      </w:r>
      <w:r w:rsidR="00B6647D">
        <w:t>"</w:t>
      </w:r>
      <w:r w:rsidR="00B6647D" w:rsidRPr="00B6647D">
        <w:t xml:space="preserve">First Verdict in Cases of Mob-Sexual Assault and Gang Rape in </w:t>
      </w:r>
      <w:proofErr w:type="spellStart"/>
      <w:r w:rsidR="00B6647D" w:rsidRPr="00B6647D">
        <w:t>Tahrir</w:t>
      </w:r>
      <w:proofErr w:type="spellEnd"/>
      <w:r w:rsidR="00B6647D" w:rsidRPr="00B6647D">
        <w:t xml:space="preserve"> Square is No End to the Story; All Previous Crimes of Sexual Violence must be Investigated</w:t>
      </w:r>
      <w:r w:rsidR="00B6647D">
        <w:t>".  Joint S</w:t>
      </w:r>
      <w:r>
        <w:t>tatement. July</w:t>
      </w:r>
      <w:r w:rsidR="00B6647D">
        <w:t xml:space="preserve"> 19</w:t>
      </w:r>
      <w:r w:rsidR="00B6647D" w:rsidRPr="00B6647D">
        <w:rPr>
          <w:vertAlign w:val="superscript"/>
        </w:rPr>
        <w:t>th</w:t>
      </w:r>
      <w:r w:rsidR="00B6647D">
        <w:t xml:space="preserve"> </w:t>
      </w:r>
      <w:r>
        <w:t xml:space="preserve">2014. </w:t>
      </w:r>
      <w:r w:rsidR="00B6647D">
        <w:t xml:space="preserve">Available at: </w:t>
      </w:r>
      <w:hyperlink r:id="rId2" w:history="1">
        <w:r w:rsidR="00B6647D" w:rsidRPr="00B6647D">
          <w:rPr>
            <w:rStyle w:val="Hyperlink"/>
          </w:rPr>
          <w:t>http://nazra.org/en/2014/07/first-verdict-cases-mob-sexual-assault-and-gang-rape-tahrir-square-no-end-story</w:t>
        </w:r>
      </w:hyperlink>
    </w:p>
  </w:footnote>
  <w:footnote w:id="3">
    <w:p w:rsidR="00687600" w:rsidRDefault="00687600" w:rsidP="00687600">
      <w:pPr>
        <w:pStyle w:val="FootnoteText"/>
        <w:jc w:val="both"/>
      </w:pPr>
      <w:r>
        <w:rPr>
          <w:rStyle w:val="FootnoteReference"/>
        </w:rPr>
        <w:footnoteRef/>
      </w:r>
      <w:r>
        <w:t xml:space="preserve"> "Feminist and Human Rights Organizations and Groups call for a Comprehensive National Strategy for the Elimination of Violence against Women, and a Law covering all forms of Sexual Violence". Joint Statement. March 31</w:t>
      </w:r>
      <w:r w:rsidRPr="00687600">
        <w:rPr>
          <w:vertAlign w:val="superscript"/>
        </w:rPr>
        <w:t>st</w:t>
      </w:r>
      <w:r>
        <w:t xml:space="preserve"> 2014</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D6574"/>
    <w:multiLevelType w:val="hybridMultilevel"/>
    <w:tmpl w:val="B69CEDF8"/>
    <w:lvl w:ilvl="0" w:tplc="EA7296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A7868D0"/>
    <w:multiLevelType w:val="hybridMultilevel"/>
    <w:tmpl w:val="9E4C3410"/>
    <w:lvl w:ilvl="0" w:tplc="E230DCA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43DC7EB4"/>
    <w:multiLevelType w:val="hybridMultilevel"/>
    <w:tmpl w:val="374240F8"/>
    <w:lvl w:ilvl="0" w:tplc="4834602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357033B"/>
    <w:multiLevelType w:val="hybridMultilevel"/>
    <w:tmpl w:val="46B4D0AE"/>
    <w:lvl w:ilvl="0" w:tplc="6B1A43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6D7563CB"/>
    <w:multiLevelType w:val="hybridMultilevel"/>
    <w:tmpl w:val="ED3A549A"/>
    <w:lvl w:ilvl="0" w:tplc="527CB4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6DF6394A"/>
    <w:multiLevelType w:val="hybridMultilevel"/>
    <w:tmpl w:val="799E04DE"/>
    <w:lvl w:ilvl="0" w:tplc="23AE2108">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7FCF0BF3"/>
    <w:multiLevelType w:val="hybridMultilevel"/>
    <w:tmpl w:val="314473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4"/>
  </w:num>
  <w:num w:numId="3">
    <w:abstractNumId w:val="2"/>
  </w:num>
  <w:num w:numId="4">
    <w:abstractNumId w:val="5"/>
  </w:num>
  <w:num w:numId="5">
    <w:abstractNumId w:val="1"/>
  </w:num>
  <w:num w:numId="6">
    <w:abstractNumId w:val="3"/>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defaultTabStop w:val="720"/>
  <w:characterSpacingControl w:val="doNotCompress"/>
  <w:footnotePr>
    <w:footnote w:id="-1"/>
    <w:footnote w:id="0"/>
  </w:footnotePr>
  <w:endnotePr>
    <w:endnote w:id="-1"/>
    <w:endnote w:id="0"/>
  </w:endnotePr>
  <w:compat/>
  <w:rsids>
    <w:rsidRoot w:val="00B825EA"/>
    <w:rsid w:val="000034FD"/>
    <w:rsid w:val="00006F9A"/>
    <w:rsid w:val="0000791A"/>
    <w:rsid w:val="000111C2"/>
    <w:rsid w:val="00013D9F"/>
    <w:rsid w:val="0002022C"/>
    <w:rsid w:val="0002246E"/>
    <w:rsid w:val="0002414F"/>
    <w:rsid w:val="0002720D"/>
    <w:rsid w:val="000308A6"/>
    <w:rsid w:val="000308BF"/>
    <w:rsid w:val="00054DB7"/>
    <w:rsid w:val="0005611E"/>
    <w:rsid w:val="00057DB0"/>
    <w:rsid w:val="00073DD8"/>
    <w:rsid w:val="000761E3"/>
    <w:rsid w:val="00076767"/>
    <w:rsid w:val="000775D4"/>
    <w:rsid w:val="00082459"/>
    <w:rsid w:val="0008661C"/>
    <w:rsid w:val="00087BD2"/>
    <w:rsid w:val="00091AF9"/>
    <w:rsid w:val="000933B1"/>
    <w:rsid w:val="00097EE6"/>
    <w:rsid w:val="000A032E"/>
    <w:rsid w:val="000A136F"/>
    <w:rsid w:val="000C3531"/>
    <w:rsid w:val="000D6718"/>
    <w:rsid w:val="000E0CE0"/>
    <w:rsid w:val="000E2465"/>
    <w:rsid w:val="000F73E4"/>
    <w:rsid w:val="00101DB9"/>
    <w:rsid w:val="00111672"/>
    <w:rsid w:val="00112CEB"/>
    <w:rsid w:val="001266D8"/>
    <w:rsid w:val="00137533"/>
    <w:rsid w:val="0014029E"/>
    <w:rsid w:val="001447F6"/>
    <w:rsid w:val="00145BC4"/>
    <w:rsid w:val="00146172"/>
    <w:rsid w:val="00147166"/>
    <w:rsid w:val="00156D20"/>
    <w:rsid w:val="0015703C"/>
    <w:rsid w:val="00170B45"/>
    <w:rsid w:val="00173D1B"/>
    <w:rsid w:val="00197B44"/>
    <w:rsid w:val="001A1D58"/>
    <w:rsid w:val="001A35C2"/>
    <w:rsid w:val="001A548C"/>
    <w:rsid w:val="001B44A7"/>
    <w:rsid w:val="001C45FA"/>
    <w:rsid w:val="001D6B43"/>
    <w:rsid w:val="001D749F"/>
    <w:rsid w:val="00202BA1"/>
    <w:rsid w:val="00213A49"/>
    <w:rsid w:val="002155A9"/>
    <w:rsid w:val="00216EF3"/>
    <w:rsid w:val="0022259B"/>
    <w:rsid w:val="00260F16"/>
    <w:rsid w:val="002615F2"/>
    <w:rsid w:val="002624F3"/>
    <w:rsid w:val="002638F0"/>
    <w:rsid w:val="002652F4"/>
    <w:rsid w:val="0027500C"/>
    <w:rsid w:val="00277BCF"/>
    <w:rsid w:val="00280526"/>
    <w:rsid w:val="00281A53"/>
    <w:rsid w:val="002901D7"/>
    <w:rsid w:val="002B1596"/>
    <w:rsid w:val="002B56AB"/>
    <w:rsid w:val="002B705C"/>
    <w:rsid w:val="002B7342"/>
    <w:rsid w:val="002B760F"/>
    <w:rsid w:val="002C0D61"/>
    <w:rsid w:val="002D10E0"/>
    <w:rsid w:val="002D4C5F"/>
    <w:rsid w:val="002D6FD6"/>
    <w:rsid w:val="0030538E"/>
    <w:rsid w:val="003208AA"/>
    <w:rsid w:val="003279BB"/>
    <w:rsid w:val="0033086A"/>
    <w:rsid w:val="00335F20"/>
    <w:rsid w:val="00340919"/>
    <w:rsid w:val="003440A2"/>
    <w:rsid w:val="00350AAC"/>
    <w:rsid w:val="00355F23"/>
    <w:rsid w:val="003608F5"/>
    <w:rsid w:val="00364865"/>
    <w:rsid w:val="00367EF2"/>
    <w:rsid w:val="00373D9A"/>
    <w:rsid w:val="0037521D"/>
    <w:rsid w:val="00375CAF"/>
    <w:rsid w:val="00380E1E"/>
    <w:rsid w:val="003917FC"/>
    <w:rsid w:val="003961CD"/>
    <w:rsid w:val="003A617E"/>
    <w:rsid w:val="003A6506"/>
    <w:rsid w:val="003B04C9"/>
    <w:rsid w:val="003B0C8B"/>
    <w:rsid w:val="003B17A1"/>
    <w:rsid w:val="003B5CB9"/>
    <w:rsid w:val="003C1FF9"/>
    <w:rsid w:val="003D271D"/>
    <w:rsid w:val="003D3153"/>
    <w:rsid w:val="003D77E3"/>
    <w:rsid w:val="003E3DB2"/>
    <w:rsid w:val="003F0F0A"/>
    <w:rsid w:val="003F5DF0"/>
    <w:rsid w:val="003F67B7"/>
    <w:rsid w:val="0040112B"/>
    <w:rsid w:val="00401AFD"/>
    <w:rsid w:val="0041749B"/>
    <w:rsid w:val="0041796A"/>
    <w:rsid w:val="0042088F"/>
    <w:rsid w:val="00423DE2"/>
    <w:rsid w:val="00425035"/>
    <w:rsid w:val="00425466"/>
    <w:rsid w:val="00427D68"/>
    <w:rsid w:val="00430934"/>
    <w:rsid w:val="00435F09"/>
    <w:rsid w:val="0044428C"/>
    <w:rsid w:val="004459B1"/>
    <w:rsid w:val="0045544B"/>
    <w:rsid w:val="004568B7"/>
    <w:rsid w:val="004571AD"/>
    <w:rsid w:val="004628EE"/>
    <w:rsid w:val="004665EF"/>
    <w:rsid w:val="0047251F"/>
    <w:rsid w:val="00474C49"/>
    <w:rsid w:val="00483FFE"/>
    <w:rsid w:val="00486965"/>
    <w:rsid w:val="004911A4"/>
    <w:rsid w:val="0049182F"/>
    <w:rsid w:val="004A0D64"/>
    <w:rsid w:val="004B0C93"/>
    <w:rsid w:val="004B4585"/>
    <w:rsid w:val="004B61A1"/>
    <w:rsid w:val="004D5D25"/>
    <w:rsid w:val="004D6B95"/>
    <w:rsid w:val="004E336E"/>
    <w:rsid w:val="004E42E7"/>
    <w:rsid w:val="004E6521"/>
    <w:rsid w:val="004E7237"/>
    <w:rsid w:val="004F1F53"/>
    <w:rsid w:val="004F2F30"/>
    <w:rsid w:val="004F64A3"/>
    <w:rsid w:val="004F6998"/>
    <w:rsid w:val="00513E63"/>
    <w:rsid w:val="0051719C"/>
    <w:rsid w:val="0053602F"/>
    <w:rsid w:val="00537917"/>
    <w:rsid w:val="00547201"/>
    <w:rsid w:val="00551F87"/>
    <w:rsid w:val="00552C5F"/>
    <w:rsid w:val="00555BEC"/>
    <w:rsid w:val="00571C3B"/>
    <w:rsid w:val="0057750B"/>
    <w:rsid w:val="005802A1"/>
    <w:rsid w:val="00582DC7"/>
    <w:rsid w:val="005842DA"/>
    <w:rsid w:val="00586C0D"/>
    <w:rsid w:val="0058731F"/>
    <w:rsid w:val="00587D04"/>
    <w:rsid w:val="00596719"/>
    <w:rsid w:val="005A7E70"/>
    <w:rsid w:val="005B5E8B"/>
    <w:rsid w:val="005B6203"/>
    <w:rsid w:val="005C6837"/>
    <w:rsid w:val="005D6ABC"/>
    <w:rsid w:val="005E537E"/>
    <w:rsid w:val="005F00FC"/>
    <w:rsid w:val="0060495E"/>
    <w:rsid w:val="006076B9"/>
    <w:rsid w:val="00610F03"/>
    <w:rsid w:val="00613EC2"/>
    <w:rsid w:val="0062371F"/>
    <w:rsid w:val="00630221"/>
    <w:rsid w:val="006324EF"/>
    <w:rsid w:val="00633812"/>
    <w:rsid w:val="00645E72"/>
    <w:rsid w:val="00666DEB"/>
    <w:rsid w:val="0067268D"/>
    <w:rsid w:val="00687600"/>
    <w:rsid w:val="00693270"/>
    <w:rsid w:val="006B0FAD"/>
    <w:rsid w:val="006B140B"/>
    <w:rsid w:val="006B5655"/>
    <w:rsid w:val="006C0D63"/>
    <w:rsid w:val="006D3124"/>
    <w:rsid w:val="006E16AF"/>
    <w:rsid w:val="006E22E4"/>
    <w:rsid w:val="006E4A3A"/>
    <w:rsid w:val="00703DFD"/>
    <w:rsid w:val="00706FB4"/>
    <w:rsid w:val="00721362"/>
    <w:rsid w:val="0072298E"/>
    <w:rsid w:val="00727307"/>
    <w:rsid w:val="00740DA1"/>
    <w:rsid w:val="00741BF2"/>
    <w:rsid w:val="0075071D"/>
    <w:rsid w:val="00754DF6"/>
    <w:rsid w:val="007629D2"/>
    <w:rsid w:val="00767275"/>
    <w:rsid w:val="00771788"/>
    <w:rsid w:val="0077446C"/>
    <w:rsid w:val="007A451A"/>
    <w:rsid w:val="007C668E"/>
    <w:rsid w:val="007D0C14"/>
    <w:rsid w:val="007D7517"/>
    <w:rsid w:val="007E2B57"/>
    <w:rsid w:val="007E42CA"/>
    <w:rsid w:val="007F1AD4"/>
    <w:rsid w:val="007F4282"/>
    <w:rsid w:val="007F7F1E"/>
    <w:rsid w:val="00804CEF"/>
    <w:rsid w:val="00822AF7"/>
    <w:rsid w:val="00824F8D"/>
    <w:rsid w:val="008257FF"/>
    <w:rsid w:val="008300EE"/>
    <w:rsid w:val="00832DD9"/>
    <w:rsid w:val="008501E2"/>
    <w:rsid w:val="00860E9E"/>
    <w:rsid w:val="00861370"/>
    <w:rsid w:val="008677D9"/>
    <w:rsid w:val="00871314"/>
    <w:rsid w:val="00872CA7"/>
    <w:rsid w:val="00874704"/>
    <w:rsid w:val="00876D16"/>
    <w:rsid w:val="008845AE"/>
    <w:rsid w:val="008857FC"/>
    <w:rsid w:val="00890913"/>
    <w:rsid w:val="00891E91"/>
    <w:rsid w:val="008B3718"/>
    <w:rsid w:val="008D384B"/>
    <w:rsid w:val="008E64A8"/>
    <w:rsid w:val="008E7F5C"/>
    <w:rsid w:val="008F0461"/>
    <w:rsid w:val="008F5170"/>
    <w:rsid w:val="008F571A"/>
    <w:rsid w:val="008F6AD0"/>
    <w:rsid w:val="008F7AE2"/>
    <w:rsid w:val="00906F1A"/>
    <w:rsid w:val="00922555"/>
    <w:rsid w:val="009247CF"/>
    <w:rsid w:val="009256DA"/>
    <w:rsid w:val="0094058D"/>
    <w:rsid w:val="00940AC2"/>
    <w:rsid w:val="00943073"/>
    <w:rsid w:val="00946B5B"/>
    <w:rsid w:val="0094744C"/>
    <w:rsid w:val="009551AC"/>
    <w:rsid w:val="00972671"/>
    <w:rsid w:val="009801D0"/>
    <w:rsid w:val="0098139A"/>
    <w:rsid w:val="009A18FB"/>
    <w:rsid w:val="009B7A87"/>
    <w:rsid w:val="009C73E4"/>
    <w:rsid w:val="009E03C7"/>
    <w:rsid w:val="009E1954"/>
    <w:rsid w:val="009E3442"/>
    <w:rsid w:val="009E516B"/>
    <w:rsid w:val="009F0690"/>
    <w:rsid w:val="009F718E"/>
    <w:rsid w:val="00A01C9E"/>
    <w:rsid w:val="00A0298B"/>
    <w:rsid w:val="00A04891"/>
    <w:rsid w:val="00A16125"/>
    <w:rsid w:val="00A22737"/>
    <w:rsid w:val="00A229B3"/>
    <w:rsid w:val="00A2409D"/>
    <w:rsid w:val="00A27B3B"/>
    <w:rsid w:val="00A31FF5"/>
    <w:rsid w:val="00A63C3C"/>
    <w:rsid w:val="00A6506E"/>
    <w:rsid w:val="00A7324E"/>
    <w:rsid w:val="00A75733"/>
    <w:rsid w:val="00A8321E"/>
    <w:rsid w:val="00A845B9"/>
    <w:rsid w:val="00AA05DF"/>
    <w:rsid w:val="00AA13C8"/>
    <w:rsid w:val="00AA1CC1"/>
    <w:rsid w:val="00AA2A8E"/>
    <w:rsid w:val="00AA658F"/>
    <w:rsid w:val="00AC7E21"/>
    <w:rsid w:val="00AD2E1C"/>
    <w:rsid w:val="00AD45C1"/>
    <w:rsid w:val="00AE3C9D"/>
    <w:rsid w:val="00AE6DE5"/>
    <w:rsid w:val="00B0311B"/>
    <w:rsid w:val="00B0357C"/>
    <w:rsid w:val="00B053B1"/>
    <w:rsid w:val="00B069A5"/>
    <w:rsid w:val="00B15BCF"/>
    <w:rsid w:val="00B21CCB"/>
    <w:rsid w:val="00B30232"/>
    <w:rsid w:val="00B37CF3"/>
    <w:rsid w:val="00B44948"/>
    <w:rsid w:val="00B56256"/>
    <w:rsid w:val="00B56611"/>
    <w:rsid w:val="00B650B8"/>
    <w:rsid w:val="00B6647D"/>
    <w:rsid w:val="00B701C1"/>
    <w:rsid w:val="00B70235"/>
    <w:rsid w:val="00B70CA6"/>
    <w:rsid w:val="00B714D9"/>
    <w:rsid w:val="00B773FE"/>
    <w:rsid w:val="00B825EA"/>
    <w:rsid w:val="00B84B17"/>
    <w:rsid w:val="00B94335"/>
    <w:rsid w:val="00B96581"/>
    <w:rsid w:val="00B97985"/>
    <w:rsid w:val="00BA43C3"/>
    <w:rsid w:val="00BA6658"/>
    <w:rsid w:val="00BA69F7"/>
    <w:rsid w:val="00BB4D17"/>
    <w:rsid w:val="00BB531B"/>
    <w:rsid w:val="00BD164D"/>
    <w:rsid w:val="00BD2A11"/>
    <w:rsid w:val="00BE3802"/>
    <w:rsid w:val="00BE3FF7"/>
    <w:rsid w:val="00BE528B"/>
    <w:rsid w:val="00BE76F4"/>
    <w:rsid w:val="00BF446D"/>
    <w:rsid w:val="00BF64D7"/>
    <w:rsid w:val="00BF6833"/>
    <w:rsid w:val="00BF7929"/>
    <w:rsid w:val="00C05FF5"/>
    <w:rsid w:val="00C072DD"/>
    <w:rsid w:val="00C13A2F"/>
    <w:rsid w:val="00C13F0C"/>
    <w:rsid w:val="00C15F58"/>
    <w:rsid w:val="00C17F1A"/>
    <w:rsid w:val="00C2004F"/>
    <w:rsid w:val="00C2575B"/>
    <w:rsid w:val="00C3009E"/>
    <w:rsid w:val="00C3411F"/>
    <w:rsid w:val="00C34E4B"/>
    <w:rsid w:val="00C46AB7"/>
    <w:rsid w:val="00C477CC"/>
    <w:rsid w:val="00C775F2"/>
    <w:rsid w:val="00C81B7F"/>
    <w:rsid w:val="00C84226"/>
    <w:rsid w:val="00C8744C"/>
    <w:rsid w:val="00C924E3"/>
    <w:rsid w:val="00CA1AD6"/>
    <w:rsid w:val="00CA4455"/>
    <w:rsid w:val="00CA4E2E"/>
    <w:rsid w:val="00CB1064"/>
    <w:rsid w:val="00CB2EBC"/>
    <w:rsid w:val="00CB5553"/>
    <w:rsid w:val="00CB6931"/>
    <w:rsid w:val="00CC14D4"/>
    <w:rsid w:val="00CD2220"/>
    <w:rsid w:val="00CD6F94"/>
    <w:rsid w:val="00CE383F"/>
    <w:rsid w:val="00CE631B"/>
    <w:rsid w:val="00CF309E"/>
    <w:rsid w:val="00D07336"/>
    <w:rsid w:val="00D20255"/>
    <w:rsid w:val="00D206C0"/>
    <w:rsid w:val="00D231C9"/>
    <w:rsid w:val="00D27916"/>
    <w:rsid w:val="00D27F6C"/>
    <w:rsid w:val="00D30D91"/>
    <w:rsid w:val="00D3328E"/>
    <w:rsid w:val="00D343C5"/>
    <w:rsid w:val="00D42908"/>
    <w:rsid w:val="00D42FAA"/>
    <w:rsid w:val="00D528DB"/>
    <w:rsid w:val="00D56B2C"/>
    <w:rsid w:val="00D60CCA"/>
    <w:rsid w:val="00D65B3C"/>
    <w:rsid w:val="00D731F4"/>
    <w:rsid w:val="00D747CC"/>
    <w:rsid w:val="00D81309"/>
    <w:rsid w:val="00D86F60"/>
    <w:rsid w:val="00D908C1"/>
    <w:rsid w:val="00DA1BD9"/>
    <w:rsid w:val="00DA31C4"/>
    <w:rsid w:val="00DA3856"/>
    <w:rsid w:val="00DB689F"/>
    <w:rsid w:val="00DC57A8"/>
    <w:rsid w:val="00DD1C94"/>
    <w:rsid w:val="00DD4842"/>
    <w:rsid w:val="00DE3D2D"/>
    <w:rsid w:val="00DE423F"/>
    <w:rsid w:val="00DE6B15"/>
    <w:rsid w:val="00DF4C2F"/>
    <w:rsid w:val="00E06A80"/>
    <w:rsid w:val="00E114DB"/>
    <w:rsid w:val="00E13705"/>
    <w:rsid w:val="00E15BF7"/>
    <w:rsid w:val="00E16E0B"/>
    <w:rsid w:val="00E230DA"/>
    <w:rsid w:val="00E24114"/>
    <w:rsid w:val="00E2666B"/>
    <w:rsid w:val="00E44C4A"/>
    <w:rsid w:val="00E57D93"/>
    <w:rsid w:val="00E608F1"/>
    <w:rsid w:val="00E61954"/>
    <w:rsid w:val="00E61FD4"/>
    <w:rsid w:val="00E630B7"/>
    <w:rsid w:val="00E77E57"/>
    <w:rsid w:val="00E809FC"/>
    <w:rsid w:val="00E92EF0"/>
    <w:rsid w:val="00EA5F98"/>
    <w:rsid w:val="00EB1EAA"/>
    <w:rsid w:val="00EB29A9"/>
    <w:rsid w:val="00ED33D7"/>
    <w:rsid w:val="00ED35A2"/>
    <w:rsid w:val="00ED534D"/>
    <w:rsid w:val="00ED5F66"/>
    <w:rsid w:val="00EE41CD"/>
    <w:rsid w:val="00EF278E"/>
    <w:rsid w:val="00EF4697"/>
    <w:rsid w:val="00EF58DB"/>
    <w:rsid w:val="00EF5966"/>
    <w:rsid w:val="00F06A93"/>
    <w:rsid w:val="00F12CFF"/>
    <w:rsid w:val="00F149A1"/>
    <w:rsid w:val="00F14D0B"/>
    <w:rsid w:val="00F168D5"/>
    <w:rsid w:val="00F27FB5"/>
    <w:rsid w:val="00F419F3"/>
    <w:rsid w:val="00F438E6"/>
    <w:rsid w:val="00F51D4C"/>
    <w:rsid w:val="00F52EBD"/>
    <w:rsid w:val="00F54BD2"/>
    <w:rsid w:val="00F61315"/>
    <w:rsid w:val="00F70835"/>
    <w:rsid w:val="00F7162D"/>
    <w:rsid w:val="00F8121C"/>
    <w:rsid w:val="00F84C37"/>
    <w:rsid w:val="00F87B30"/>
    <w:rsid w:val="00F91B36"/>
    <w:rsid w:val="00F92EEC"/>
    <w:rsid w:val="00FB5970"/>
    <w:rsid w:val="00FC5047"/>
    <w:rsid w:val="00FC7518"/>
    <w:rsid w:val="00FD6DDC"/>
    <w:rsid w:val="00FE2D7E"/>
    <w:rsid w:val="00FE710E"/>
    <w:rsid w:val="00FF3FE1"/>
    <w:rsid w:val="00FF7BFD"/>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31C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5F2"/>
    <w:rPr>
      <w:rFonts w:ascii="Tahoma" w:hAnsi="Tahoma" w:cs="Tahoma"/>
      <w:sz w:val="16"/>
      <w:szCs w:val="16"/>
    </w:rPr>
  </w:style>
  <w:style w:type="paragraph" w:styleId="EndnoteText">
    <w:name w:val="endnote text"/>
    <w:basedOn w:val="Normal"/>
    <w:link w:val="EndnoteTextChar"/>
    <w:uiPriority w:val="99"/>
    <w:semiHidden/>
    <w:unhideWhenUsed/>
    <w:rsid w:val="00AC7E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E21"/>
    <w:rPr>
      <w:sz w:val="20"/>
      <w:szCs w:val="20"/>
    </w:rPr>
  </w:style>
  <w:style w:type="character" w:styleId="EndnoteReference">
    <w:name w:val="endnote reference"/>
    <w:basedOn w:val="DefaultParagraphFont"/>
    <w:uiPriority w:val="99"/>
    <w:semiHidden/>
    <w:unhideWhenUsed/>
    <w:rsid w:val="00AC7E21"/>
    <w:rPr>
      <w:vertAlign w:val="superscript"/>
    </w:rPr>
  </w:style>
  <w:style w:type="paragraph" w:styleId="FootnoteText">
    <w:name w:val="footnote text"/>
    <w:basedOn w:val="Normal"/>
    <w:link w:val="FootnoteTextChar"/>
    <w:uiPriority w:val="99"/>
    <w:semiHidden/>
    <w:unhideWhenUsed/>
    <w:rsid w:val="00AC7E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E21"/>
    <w:rPr>
      <w:sz w:val="20"/>
      <w:szCs w:val="20"/>
    </w:rPr>
  </w:style>
  <w:style w:type="character" w:styleId="FootnoteReference">
    <w:name w:val="footnote reference"/>
    <w:basedOn w:val="DefaultParagraphFont"/>
    <w:uiPriority w:val="99"/>
    <w:semiHidden/>
    <w:unhideWhenUsed/>
    <w:rsid w:val="00AC7E21"/>
    <w:rPr>
      <w:vertAlign w:val="superscript"/>
    </w:rPr>
  </w:style>
  <w:style w:type="paragraph" w:styleId="ListParagraph">
    <w:name w:val="List Paragraph"/>
    <w:basedOn w:val="Normal"/>
    <w:uiPriority w:val="34"/>
    <w:qFormat/>
    <w:rsid w:val="00D747CC"/>
    <w:pPr>
      <w:ind w:left="720"/>
      <w:contextualSpacing/>
    </w:pPr>
  </w:style>
  <w:style w:type="character" w:styleId="Hyperlink">
    <w:name w:val="Hyperlink"/>
    <w:basedOn w:val="DefaultParagraphFont"/>
    <w:uiPriority w:val="99"/>
    <w:unhideWhenUsed/>
    <w:rsid w:val="00876D16"/>
    <w:rPr>
      <w:color w:val="0000FF" w:themeColor="hyperlink"/>
      <w:u w:val="single"/>
    </w:rPr>
  </w:style>
  <w:style w:type="paragraph" w:styleId="Header">
    <w:name w:val="header"/>
    <w:basedOn w:val="Normal"/>
    <w:link w:val="HeaderChar"/>
    <w:uiPriority w:val="99"/>
    <w:semiHidden/>
    <w:unhideWhenUsed/>
    <w:rsid w:val="002D10E0"/>
    <w:pPr>
      <w:tabs>
        <w:tab w:val="center" w:pos="4153"/>
        <w:tab w:val="right" w:pos="8306"/>
      </w:tabs>
      <w:spacing w:after="0" w:line="240" w:lineRule="auto"/>
    </w:pPr>
  </w:style>
  <w:style w:type="character" w:customStyle="1" w:styleId="HeaderChar">
    <w:name w:val="Header Char"/>
    <w:basedOn w:val="DefaultParagraphFont"/>
    <w:link w:val="Header"/>
    <w:uiPriority w:val="99"/>
    <w:semiHidden/>
    <w:rsid w:val="002D10E0"/>
  </w:style>
  <w:style w:type="paragraph" w:styleId="Footer">
    <w:name w:val="footer"/>
    <w:basedOn w:val="Normal"/>
    <w:link w:val="FooterChar"/>
    <w:uiPriority w:val="99"/>
    <w:semiHidden/>
    <w:unhideWhenUsed/>
    <w:rsid w:val="002D10E0"/>
    <w:pPr>
      <w:tabs>
        <w:tab w:val="center" w:pos="4153"/>
        <w:tab w:val="right" w:pos="8306"/>
      </w:tabs>
      <w:spacing w:after="0" w:line="240" w:lineRule="auto"/>
    </w:pPr>
  </w:style>
  <w:style w:type="character" w:customStyle="1" w:styleId="FooterChar">
    <w:name w:val="Footer Char"/>
    <w:basedOn w:val="DefaultParagraphFont"/>
    <w:link w:val="Footer"/>
    <w:uiPriority w:val="99"/>
    <w:semiHidden/>
    <w:rsid w:val="002D10E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775F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775F2"/>
    <w:rPr>
      <w:rFonts w:ascii="Tahoma" w:hAnsi="Tahoma" w:cs="Tahoma"/>
      <w:sz w:val="16"/>
      <w:szCs w:val="16"/>
    </w:rPr>
  </w:style>
  <w:style w:type="paragraph" w:styleId="EndnoteText">
    <w:name w:val="endnote text"/>
    <w:basedOn w:val="Normal"/>
    <w:link w:val="EndnoteTextChar"/>
    <w:uiPriority w:val="99"/>
    <w:semiHidden/>
    <w:unhideWhenUsed/>
    <w:rsid w:val="00AC7E21"/>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C7E21"/>
    <w:rPr>
      <w:sz w:val="20"/>
      <w:szCs w:val="20"/>
    </w:rPr>
  </w:style>
  <w:style w:type="character" w:styleId="EndnoteReference">
    <w:name w:val="endnote reference"/>
    <w:basedOn w:val="DefaultParagraphFont"/>
    <w:uiPriority w:val="99"/>
    <w:semiHidden/>
    <w:unhideWhenUsed/>
    <w:rsid w:val="00AC7E21"/>
    <w:rPr>
      <w:vertAlign w:val="superscript"/>
    </w:rPr>
  </w:style>
  <w:style w:type="paragraph" w:styleId="FootnoteText">
    <w:name w:val="footnote text"/>
    <w:basedOn w:val="Normal"/>
    <w:link w:val="FootnoteTextChar"/>
    <w:uiPriority w:val="99"/>
    <w:semiHidden/>
    <w:unhideWhenUsed/>
    <w:rsid w:val="00AC7E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7E21"/>
    <w:rPr>
      <w:sz w:val="20"/>
      <w:szCs w:val="20"/>
    </w:rPr>
  </w:style>
  <w:style w:type="character" w:styleId="FootnoteReference">
    <w:name w:val="footnote reference"/>
    <w:basedOn w:val="DefaultParagraphFont"/>
    <w:uiPriority w:val="99"/>
    <w:semiHidden/>
    <w:unhideWhenUsed/>
    <w:rsid w:val="00AC7E21"/>
    <w:rPr>
      <w:vertAlign w:val="superscript"/>
    </w:rPr>
  </w:style>
  <w:style w:type="paragraph" w:styleId="ListParagraph">
    <w:name w:val="List Paragraph"/>
    <w:basedOn w:val="Normal"/>
    <w:uiPriority w:val="34"/>
    <w:qFormat/>
    <w:rsid w:val="00D747CC"/>
    <w:pPr>
      <w:ind w:left="720"/>
      <w:contextualSpacing/>
    </w:pPr>
  </w:style>
</w:styles>
</file>

<file path=word/webSettings.xml><?xml version="1.0" encoding="utf-8"?>
<w:webSettings xmlns:r="http://schemas.openxmlformats.org/officeDocument/2006/relationships" xmlns:w="http://schemas.openxmlformats.org/wordprocessingml/2006/main">
  <w:divs>
    <w:div w:id="376394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footnotes.xml.rels><?xml version="1.0" encoding="UTF-8" standalone="yes"?>
<Relationships xmlns="http://schemas.openxmlformats.org/package/2006/relationships"><Relationship Id="rId2" Type="http://schemas.openxmlformats.org/officeDocument/2006/relationships/hyperlink" Target="http://nazra.org/en/2014/07/first-verdict-cases-mob-sexual-assault-and-gang-rape-tahrir-square-no-end-story" TargetMode="External"/><Relationship Id="rId1" Type="http://schemas.openxmlformats.org/officeDocument/2006/relationships/hyperlink" Target="http://nazra.org/sites/nazra/files/attachments/joint_report_sexual_violence_egypt_e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36131-89EA-42A1-B72B-CC7240114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2473</Words>
  <Characters>14098</Characters>
  <Application>Microsoft Office Word</Application>
  <DocSecurity>0</DocSecurity>
  <Lines>117</Lines>
  <Paragraphs>33</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16538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PANGLOSS2</dc:creator>
  <cp:lastModifiedBy>Mahy</cp:lastModifiedBy>
  <cp:revision>4</cp:revision>
  <dcterms:created xsi:type="dcterms:W3CDTF">2014-12-08T18:42:00Z</dcterms:created>
  <dcterms:modified xsi:type="dcterms:W3CDTF">2014-12-09T10:56:00Z</dcterms:modified>
</cp:coreProperties>
</file>